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Орган-разработчик: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департамент устойчивого развития сельских территорий министерства сельского хозяйства и продовольствия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постановления Правительства Белгородской области «О внесении изменений в постановление Правительства Белгородской области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от 22 июня 2015 года № 251-пп</w:t>
      </w:r>
      <w:r>
        <w:rPr>
          <w:rFonts w:ascii="Times New Roman" w:hAnsi="Times New Roman" w:eastAsia="Calibri" w:cs="Times New Roman"/>
          <w:sz w:val="26"/>
          <w:szCs w:val="26"/>
        </w:rPr>
        <w:t xml:space="preserve">».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начало: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февраля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2025 г., окончание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февраля 2025 г.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средняя.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Проектом постановления Правительства Белгородской области «О внесении изменений в постановление Правительства области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от 22 июня 2015 года № 251-пп</w:t>
      </w:r>
      <w:r>
        <w:rPr>
          <w:rFonts w:ascii="Times New Roman" w:hAnsi="Times New Roman" w:eastAsia="Calibri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вносятся изменения в порядки предоставления грантов </w:t>
      </w:r>
      <w:r>
        <w:rPr>
          <w:rFonts w:ascii="Times New Roman" w:hAnsi="Times New Roman" w:cs="Times New Roman"/>
          <w:sz w:val="26"/>
          <w:szCs w:val="26"/>
        </w:rPr>
        <w:br/>
        <w:t xml:space="preserve">на поддержку сельскохозяйственных потребительских кооперативов </w:t>
      </w:r>
      <w:r>
        <w:rPr>
          <w:rFonts w:ascii="Times New Roman" w:hAnsi="Times New Roman" w:cs="Times New Roman"/>
          <w:sz w:val="26"/>
          <w:szCs w:val="26"/>
        </w:rPr>
        <w:br/>
        <w:t xml:space="preserve">и начинающих сельскохозяйственных потребительских кооперативов для развития материально-технической базы в части изменения понятий порядка, дополнения перечня документов, предоставляемых заявителями для участия </w:t>
      </w:r>
      <w:r>
        <w:rPr>
          <w:rFonts w:ascii="Times New Roman" w:hAnsi="Times New Roman" w:cs="Times New Roman"/>
          <w:sz w:val="26"/>
          <w:szCs w:val="26"/>
        </w:rPr>
        <w:br/>
        <w:t xml:space="preserve">в конкурсе, изменения порядка объявления конкурса, рассмотрения и оценки заявок комиссией по отбору проектов, предоставления отчетности грантополучателем</w:t>
      </w:r>
      <w:r>
        <w:rPr>
          <w:rFonts w:ascii="Times New Roman" w:hAnsi="Times New Roman" w:eastAsia="Calibri" w:cs="Times New Roman"/>
          <w:sz w:val="26"/>
          <w:szCs w:val="26"/>
        </w:rPr>
        <w:t xml:space="preserve">.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Труфанова Людмила Николаевна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консультант отдела государственной поддержки малых форм департамента устойчивого развития сельских территорий министерства сельского хозяйства и продовольствия области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8 (4722) 24-76-43. Адрес электронной почты: </w:t>
      </w:r>
      <w:hyperlink r:id="rId10" w:tooltip="mailto:trufanova@belapk.ru" w:history="1">
        <w:r>
          <w:rPr>
            <w:rStyle w:val="844"/>
            <w:rFonts w:ascii="Times New Roman" w:hAnsi="Times New Roman" w:eastAsia="Times New Roman" w:cs="Times New Roman"/>
            <w:sz w:val="26"/>
            <w:szCs w:val="26"/>
            <w:lang w:val="en-US"/>
          </w:rPr>
          <w:t xml:space="preserve">trufanova</w:t>
        </w:r>
        <w:r>
          <w:rPr>
            <w:rStyle w:val="844"/>
            <w:rFonts w:ascii="Times New Roman" w:hAnsi="Times New Roman" w:eastAsia="Times New Roman" w:cs="Times New Roman"/>
            <w:sz w:val="26"/>
            <w:szCs w:val="26"/>
          </w:rPr>
          <w:t xml:space="preserve">@belapk.ru</w:t>
        </w:r>
      </w:hyperlink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Невозможность проведения конкурсного отбора без внесения изменений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Порядок предоставления из областного бюджета грантов в форме субсидий на поддержку сельскохозяйственных потребительских кооперативов для развития материально-технической базы</w:t>
      </w:r>
      <w:r>
        <w:rPr>
          <w:rFonts w:ascii="Times New Roman" w:hAnsi="Times New Roman" w:eastAsia="Calibri" w:cs="Times New Roman"/>
          <w:sz w:val="26"/>
          <w:szCs w:val="26"/>
        </w:rPr>
        <w:t xml:space="preserve"> без утверждения регионального нормативного правового акта, регламентирующего данный порядок.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Невозможность проведения конкурсного отбора без внесения изменений 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Порядок предоставления из областного бюджета грантов в форме субсидий на поддержку начинающих сельскохозяйственных потребительских кооперативов для развития материально-технической базы </w:t>
      </w:r>
      <w:r>
        <w:rPr>
          <w:rFonts w:ascii="Times New Roman" w:hAnsi="Times New Roman" w:eastAsia="Calibri" w:cs="Times New Roman"/>
          <w:sz w:val="26"/>
          <w:szCs w:val="26"/>
        </w:rPr>
        <w:t xml:space="preserve">без утверждения регионального нормативного правового акта, регламентирующего данный порядок.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 мониторинг мер поддержки сельскохозяйственных предприятий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Невозможность получения федерального финансирования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без внесения изменений в региональное законодательство, невозможность проведения конкурсных мероприятий, отсутствие альтернативных методов поддержки семейных животноводческих ферм в современных условиях, невозможность получения грантовой поддержки в целях 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развития материально-технической базы</w:t>
      </w:r>
      <w:r>
        <w:rPr>
          <w:rFonts w:ascii="Times New Roman" w:hAnsi="Times New Roman" w:eastAsia="Calibri" w:cs="Times New Roman"/>
          <w:sz w:val="26"/>
          <w:szCs w:val="26"/>
        </w:rPr>
        <w:t xml:space="preserve"> кооперативов.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деятельности:*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В настоящее время органами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исполнительной власти всех субъектов Российской Федерации ведутся работы по принятию аналогичных нормативных правовых актов, предусматривающих изменение действующих положений и порядков предоставления государственной поддержки сельхозтоваропроизводителям.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3.Цели вводимого правового регулирования и измеримые показатели 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создание оптимальных условий для оказания государственной поддержки по предоставлению грантов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форме субсидий на поддержку сельскохозяйственных потребительских кооперативов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 (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действующего не менее 12 месяцев со дня регистрации)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начинающих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сельскохозяйственных потребительских кооперативов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 (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действующего менее 12 месяцев со дня регистрации)</w:t>
      </w:r>
      <w:r>
        <w:rPr>
          <w:rFonts w:ascii="Times New Roman" w:hAnsi="Times New Roman" w:eastAsia="Calibri" w:cs="Times New Roman"/>
          <w:sz w:val="26"/>
          <w:szCs w:val="26"/>
        </w:rPr>
        <w:t xml:space="preserve"> для развития материально-технической базы</w:t>
      </w:r>
      <w:r>
        <w:rPr>
          <w:rFonts w:ascii="Times New Roman" w:hAnsi="Times New Roman" w:eastAsia="Calibri" w:cs="Times New Roman"/>
          <w:sz w:val="26"/>
          <w:szCs w:val="26"/>
        </w:rPr>
        <w:t xml:space="preserve"> на территории Белгородской области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нормативного правового акта разработан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соответствии с        постановлением Правительства Российской Федерации от 14 июля 2012 года № 717                   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</w:t>
      </w:r>
      <w:r>
        <w:rPr>
          <w:rFonts w:ascii="Times New Roman" w:hAnsi="Times New Roman" w:cs="Times New Roman"/>
          <w:sz w:val="26"/>
          <w:szCs w:val="26"/>
        </w:rPr>
        <w:t xml:space="preserve">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Декабрь 2025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Отсутствует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Проектом нормативного правового акта вносятся изменения </w:t>
      </w:r>
      <w:r>
        <w:rPr>
          <w:rFonts w:ascii="Times New Roman" w:hAnsi="Times New Roman" w:cs="Times New Roman"/>
          <w:sz w:val="26"/>
          <w:szCs w:val="26"/>
        </w:rPr>
        <w:t xml:space="preserve">в порядк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bookmarkStart w:id="1" w:name="_Hlk158367312"/>
      <w:r>
        <w:rPr>
          <w:rFonts w:ascii="Times New Roman" w:hAnsi="Times New Roman" w:eastAsia="Calibri" w:cs="Times New Roman"/>
          <w:sz w:val="26"/>
          <w:szCs w:val="26"/>
        </w:rPr>
        <w:t xml:space="preserve">государственной поддержки по предоставлению грантов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форме субсидий </w:t>
      </w:r>
      <w:r>
        <w:rPr>
          <w:rFonts w:ascii="Times New Roman" w:hAnsi="Times New Roman" w:cs="Times New Roman"/>
          <w:sz w:val="26"/>
          <w:szCs w:val="26"/>
        </w:rPr>
        <w:t xml:space="preserve">на поддержку</w:t>
      </w:r>
      <w:r>
        <w:rPr>
          <w:rFonts w:ascii="Times New Roman" w:hAnsi="Times New Roman" w:cs="Times New Roman"/>
          <w:sz w:val="26"/>
          <w:szCs w:val="26"/>
        </w:rPr>
        <w:t xml:space="preserve"> сельскохозяйственных потребительских кооперативов </w:t>
      </w:r>
      <w:r>
        <w:rPr>
          <w:rFonts w:ascii="Times New Roman" w:hAnsi="Times New Roman" w:cs="Times New Roman"/>
          <w:sz w:val="26"/>
          <w:szCs w:val="26"/>
        </w:rPr>
        <w:br/>
        <w:t xml:space="preserve">и начинающих </w:t>
      </w:r>
      <w:r>
        <w:rPr>
          <w:rFonts w:ascii="Times New Roman" w:hAnsi="Times New Roman" w:cs="Times New Roman"/>
          <w:sz w:val="26"/>
          <w:szCs w:val="26"/>
        </w:rPr>
        <w:t xml:space="preserve">сельскохозяйственных потребительских кооперативов для развития материально-технической базы </w:t>
      </w:r>
      <w:r>
        <w:rPr>
          <w:rFonts w:ascii="Times New Roman" w:hAnsi="Times New Roman" w:cs="Times New Roman"/>
          <w:sz w:val="26"/>
          <w:szCs w:val="26"/>
        </w:rPr>
        <w:t xml:space="preserve"> в части:</w:t>
      </w:r>
      <w:r/>
    </w:p>
    <w:p>
      <w:pPr>
        <w:pStyle w:val="847"/>
        <w:ind w:left="0"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скорректирован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переч</w:t>
      </w:r>
      <w:r>
        <w:rPr>
          <w:rFonts w:ascii="Times New Roman" w:hAnsi="Times New Roman" w:eastAsia="Calibri" w:cs="Times New Roman"/>
          <w:sz w:val="26"/>
          <w:szCs w:val="26"/>
        </w:rPr>
        <w:t xml:space="preserve">ень</w:t>
      </w:r>
      <w:r>
        <w:rPr>
          <w:rFonts w:ascii="Times New Roman" w:hAnsi="Times New Roman" w:eastAsia="Calibri" w:cs="Times New Roman"/>
          <w:sz w:val="26"/>
          <w:szCs w:val="26"/>
        </w:rPr>
        <w:t xml:space="preserve"> документов, предоставляемых заявителями для участия в конкурсном отборе;</w:t>
      </w:r>
      <w:r/>
    </w:p>
    <w:p>
      <w:pPr>
        <w:pStyle w:val="847"/>
        <w:ind w:left="0"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изменен поряд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ок</w:t>
      </w:r>
      <w:r>
        <w:rPr>
          <w:rFonts w:ascii="Times New Roman" w:hAnsi="Times New Roman" w:eastAsia="Calibri" w:cs="Times New Roman"/>
          <w:sz w:val="26"/>
          <w:szCs w:val="26"/>
        </w:rPr>
        <w:t xml:space="preserve"> объявления конкурсного отбора, рассмотрения и оценки заявок комиссией по отбору проектов, предоставления отчетности грантополучателем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bookmarkEnd w:id="1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развитие </w:t>
      </w:r>
      <w:r>
        <w:rPr>
          <w:rFonts w:ascii="Times New Roman" w:hAnsi="Times New Roman" w:cs="Times New Roman"/>
          <w:sz w:val="26"/>
          <w:szCs w:val="26"/>
        </w:rPr>
        <w:t xml:space="preserve">сельскохозяйственных потребительских кооперативов и начинающих сельскохозяйственных потребительских кооперативов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 за счет собственных или заемных средств;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4.3. Обоснование выбора предлагаемого способа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Оптимальным вариантом решения проблемы департамент устойчивого развития сельских территорий министерства сельского хозяйства и продовольствия области считает принятие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подготовленного проекта постановления Правительства Белгородской области, который позволит создать оптимальные условия грантополучателям для эффективного освоения предоставленной государственной поддержки, будет способствовать повышению заинтересованности </w:t>
      </w:r>
      <w:r>
        <w:rPr>
          <w:rFonts w:ascii="Times New Roman" w:hAnsi="Times New Roman" w:cs="Times New Roman"/>
          <w:sz w:val="26"/>
          <w:szCs w:val="26"/>
        </w:rPr>
        <w:t xml:space="preserve">сельскохозяйственных потребительских кооперативов и начинающих сельскохозяйственных потребительских кооперативов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в создании и развитии рентабельного производства в сельской местности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При минимальном размере гранта 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сумме 5,0 млн.</w:t>
      </w:r>
      <w:r>
        <w:rPr>
          <w:rFonts w:ascii="Times New Roman" w:hAnsi="Times New Roman" w:eastAsia="Calibri" w:cs="Times New Roman"/>
          <w:sz w:val="26"/>
          <w:szCs w:val="26"/>
        </w:rPr>
        <w:t xml:space="preserve"> руб. в случае привлечения заемных средств в вышеуказанной сумме (под процентную ставку в размере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8,5 </w:t>
      </w:r>
      <w:r>
        <w:rPr>
          <w:rFonts w:ascii="Times New Roman" w:hAnsi="Times New Roman" w:eastAsia="Calibri" w:cs="Times New Roman"/>
          <w:sz w:val="26"/>
          <w:szCs w:val="26"/>
        </w:rPr>
        <w:t xml:space="preserve">% </w:t>
      </w:r>
      <w:r>
        <w:rPr>
          <w:rFonts w:ascii="Times New Roman" w:hAnsi="Times New Roman" w:eastAsia="Calibri" w:cs="Times New Roman"/>
          <w:sz w:val="26"/>
          <w:szCs w:val="26"/>
        </w:rPr>
        <w:br/>
      </w:r>
      <w:r>
        <w:rPr>
          <w:rFonts w:ascii="Times New Roman" w:hAnsi="Times New Roman" w:eastAsia="Calibri" w:cs="Times New Roman"/>
          <w:sz w:val="26"/>
          <w:szCs w:val="26"/>
        </w:rPr>
        <w:t xml:space="preserve">(в сфере АПК) на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24</w:t>
      </w:r>
      <w:r>
        <w:rPr>
          <w:rFonts w:ascii="Times New Roman" w:hAnsi="Times New Roman" w:eastAsia="Calibri" w:cs="Times New Roman"/>
          <w:sz w:val="26"/>
          <w:szCs w:val="26"/>
        </w:rPr>
        <w:t xml:space="preserve"> месяц</w:t>
      </w:r>
      <w:r>
        <w:rPr>
          <w:rFonts w:ascii="Times New Roman" w:hAnsi="Times New Roman" w:eastAsia="Calibri" w:cs="Times New Roman"/>
          <w:sz w:val="26"/>
          <w:szCs w:val="26"/>
        </w:rPr>
        <w:t xml:space="preserve">а</w:t>
      </w:r>
      <w:r>
        <w:rPr>
          <w:rFonts w:ascii="Times New Roman" w:hAnsi="Times New Roman" w:eastAsia="Calibri" w:cs="Times New Roman"/>
          <w:sz w:val="26"/>
          <w:szCs w:val="26"/>
        </w:rPr>
        <w:t xml:space="preserve"> (срок освоения гранта) переплата получателя составит </w:t>
      </w:r>
      <w:r>
        <w:rPr>
          <w:rFonts w:ascii="Times New Roman" w:hAnsi="Times New Roman" w:eastAsia="Calibri" w:cs="Times New Roman"/>
          <w:sz w:val="26"/>
          <w:szCs w:val="26"/>
        </w:rPr>
        <w:t xml:space="preserve">454,7</w:t>
      </w:r>
      <w:r>
        <w:rPr>
          <w:rFonts w:ascii="Times New Roman" w:hAnsi="Times New Roman" w:eastAsia="Calibri" w:cs="Times New Roman"/>
          <w:sz w:val="26"/>
          <w:szCs w:val="26"/>
        </w:rPr>
        <w:t xml:space="preserve"> тыс. руб.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5"/>
        <w:gridCol w:w="400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</w:pPr>
            <w:r/>
            <w:bookmarkStart w:id="2" w:name="_Hlk190089225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ельскохозяйственны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потребительски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кооператив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</w:t>
            </w:r>
            <w:bookmarkEnd w:id="2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val="en-US"/>
              </w:rPr>
              <w:t xml:space="preserve">204 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  <w:t xml:space="preserve">ед.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4114"/>
        <w:gridCol w:w="286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4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4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изменения расходов/доходов,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издержек/выгод,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тыс. руб.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ельскохозяйственны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потребительски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кооператив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зарегистрированный и осуществляющий деятельность на сельской территории или территории сельской агломерации Белгородской области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4" w:type="dxa"/>
            <w:textDirection w:val="lrTb"/>
            <w:noWrap w:val="false"/>
          </w:tcPr>
          <w:p>
            <w:pPr>
              <w:pStyle w:val="846"/>
              <w:spacing w:before="0" w:beforeAutospacing="0" w:after="0" w:afterAutospacing="0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Преимущества:</w:t>
            </w:r>
            <w:r/>
          </w:p>
          <w:p>
            <w:pPr>
              <w:pStyle w:val="846"/>
              <w:spacing w:before="0" w:beforeAutospacing="0" w:after="0" w:afterAutospacing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возможность участвовать в  конкурсн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ых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отбор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ах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по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предоставлению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 грантов на поддержку сельскохозяйственных потребительских кооперативов и начинающих сельскохозяйственных потребительских кооперативов  для развития материально-технической базы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pStyle w:val="846"/>
              <w:ind w:right="-139"/>
              <w:spacing w:after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Стоимость требования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по предоставлению</w:t>
            </w:r>
            <w: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пакета документов для получения гранта на  развитие материально-технической  базы сельскохозяйственного потребительского кооператива(действующего не менее 12 месяцев со дня регистрации):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br/>
              <w:t xml:space="preserve">3086,22 тыс. руб.</w:t>
            </w:r>
            <w:r/>
          </w:p>
          <w:p>
            <w:pPr>
              <w:pStyle w:val="846"/>
              <w:ind w:right="-139"/>
              <w:spacing w:after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Стоимость требования по предоставлению</w:t>
            </w:r>
            <w: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пакета документов для получения гранта на  развитие материально-технической  базы начинающего сельскохозяйственного потребительского кооператива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(действующего менее 12 месяцев со дня регистрации):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br/>
              <w:t xml:space="preserve">977,94 тыс. руб.</w:t>
            </w:r>
            <w:r/>
          </w:p>
          <w:p>
            <w:pPr>
              <w:pStyle w:val="846"/>
              <w:spacing w:before="0" w:beforeAutospacing="0" w:after="0" w:afterAutospacing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4" w:type="dxa"/>
            <w:textDirection w:val="lrTb"/>
            <w:noWrap w:val="false"/>
          </w:tcPr>
          <w:p>
            <w:pPr>
              <w:pStyle w:val="846"/>
              <w:spacing w:before="0" w:beforeAutospacing="0" w:after="0" w:afterAutospacing="0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Обязанности:</w:t>
            </w:r>
            <w:r/>
          </w:p>
          <w:p>
            <w:pPr>
              <w:pStyle w:val="846"/>
              <w:spacing w:before="0" w:beforeAutospacing="0" w:after="0" w:afterAutospacing="0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-предоставление пакета документов, необходимого для участия в конкурсн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ых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отбор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ах</w:t>
            </w:r>
            <w:r/>
          </w:p>
          <w:p>
            <w:pPr>
              <w:pStyle w:val="846"/>
              <w:spacing w:before="0" w:beforeAutospacing="0" w:after="0" w:afterAutospacing="0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4" w:type="dxa"/>
            <w:vMerge w:val="continue"/>
            <w:textDirection w:val="lrTb"/>
            <w:noWrap w:val="false"/>
          </w:tcPr>
          <w:p>
            <w:pPr>
              <w:ind w:right="57" w:firstLine="709"/>
              <w:spacing w:after="0" w:line="240" w:lineRule="auto"/>
              <w:rPr>
                <w:rFonts w:ascii="Times New Roman" w:hAnsi="Times New Roman" w:eastAsia="Calibri" w:cs="Times New Roman"/>
                <w:iCs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highlight w:val="cyan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Функции министерства будут осуществляться в рамках ранее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Дополнительные трудозатраты                        не потребуются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области:*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435"/>
      </w:tblGrid>
      <w:tr>
        <w:trPr/>
        <w:tc>
          <w:tcPr>
            <w:tcW w:w="2830" w:type="dxa"/>
            <w:textDirection w:val="lrTb"/>
            <w:noWrap w:val="false"/>
          </w:tcPr>
          <w:p>
            <w:pPr>
              <w:ind w:left="-35" w:right="-25" w:firstLine="35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34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тыс. руб.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поддержку сельскохозяйственных потребительских кооперативов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начинающих сельскохозяйственных потребительских кооперативов для развития материально-технической базы</w:t>
            </w:r>
            <w:r/>
          </w:p>
        </w:tc>
        <w:tc>
          <w:tcPr>
            <w:tcW w:w="34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Финансирование в 2025 году будет осуществляться в виде субсидии на общую сумму                      20 000,00 тыс. рублей, в том числе из федерального бюджета 14 800,00 тыс. руб. (74 %) и 5 200,00 тыс. руб. (26%) из бюджета Белгородской области.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нормативно-правовой акт не предусматривает обязательных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951"/>
        <w:gridCol w:w="386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2"/>
              </w:numPr>
              <w:ind w:left="0" w:firstLine="284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Уменьшение потенциальных участников мероприятий по предоставлению грантов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поддержку сельскохозяйственных потребительских кооперативов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начинающих сельскохозяйственных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потребительских кооперативов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материально-технической базы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Проведение обучающих семинаров. Информирование населения о мерах поддержки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2"/>
              </w:numPr>
              <w:ind w:left="0" w:firstLine="142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Сокращение интереса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сельхозтоваропроизводителей к объединению в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кооперативы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Проведение обучающих семинаров. Информирование населения о мерах поддержки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1418"/>
        <w:gridCol w:w="1276"/>
        <w:gridCol w:w="130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-32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Объем финансиро- 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Источники финансиро- 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Размещение информации о принятии постановления Правительства Белгородской области на  официальном сайте департамента (belapk.ru ) и на едином портале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117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Февраль-март 2025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Мониторинг предоставленных грантов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развития материально-технической базы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кооперативов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117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Апрель 2025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27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Предоставление грантов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нет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1985"/>
        <w:gridCol w:w="2126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13" w:right="-113" w:firstLine="108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Коли-чествнное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Методы контроля эффективности достижения целей правового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(не более 5 лет)</w:t>
            </w:r>
            <w:r/>
          </w:p>
        </w:tc>
      </w:tr>
      <w:tr>
        <w:trPr>
          <w:trHeight w:val="28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Оказание государственной поддержки в виде предоставления грантов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поддержку сельскохозяйственных потребительских кооперативов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начинающих сельскохозяйственных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потребительских кооперативов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материально-технической базы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в текущем финансовом году не менее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потребительск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кооператив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у,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зарегистрированному и осуществляющему деятельность на сельской территории или территории сельской агломерации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36"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Оценка поступивших заявок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сельскохозяйственных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потребительских кооперативов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left="-8" w:right="-131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Ежегодно в конце года предоставления грантов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развития материально-технической базы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кооперативов</w:t>
            </w:r>
            <w:r/>
          </w:p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Calibri" w:cs="Times New Roman"/>
          <w:sz w:val="26"/>
          <w:szCs w:val="26"/>
        </w:rPr>
        <w:t xml:space="preserve">1 квартал 2025 года.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147"/>
        <w:gridCol w:w="456"/>
        <w:gridCol w:w="1357"/>
        <w:gridCol w:w="448"/>
        <w:gridCol w:w="448"/>
        <w:gridCol w:w="1783"/>
      </w:tblGrid>
      <w:tr>
        <w:trPr>
          <w:trHeight w:val="41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67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Заместитель министра области – начальник департамента устойчивого развития сельских территорий министерства сельского хозяйства и продовольствия Белгородской области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А.Н. Цапков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(инициалы, фамилия)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(дата )</w:t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(подпись)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566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0"/>
    <w:uiPriority w:val="10"/>
    <w:rPr>
      <w:sz w:val="48"/>
      <w:szCs w:val="48"/>
    </w:rPr>
  </w:style>
  <w:style w:type="character" w:styleId="652">
    <w:name w:val="Subtitle Char"/>
    <w:basedOn w:val="667"/>
    <w:link w:val="682"/>
    <w:uiPriority w:val="11"/>
    <w:rPr>
      <w:sz w:val="24"/>
      <w:szCs w:val="24"/>
    </w:rPr>
  </w:style>
  <w:style w:type="character" w:styleId="653">
    <w:name w:val="Quote Char"/>
    <w:link w:val="684"/>
    <w:uiPriority w:val="29"/>
    <w:rPr>
      <w:i/>
    </w:rPr>
  </w:style>
  <w:style w:type="character" w:styleId="654">
    <w:name w:val="Intense Quote Char"/>
    <w:link w:val="686"/>
    <w:uiPriority w:val="30"/>
    <w:rPr>
      <w:i/>
    </w:rPr>
  </w:style>
  <w:style w:type="character" w:styleId="655">
    <w:name w:val="Footnote Text Char"/>
    <w:link w:val="818"/>
    <w:uiPriority w:val="99"/>
    <w:rPr>
      <w:sz w:val="18"/>
    </w:rPr>
  </w:style>
  <w:style w:type="character" w:styleId="656">
    <w:name w:val="Endnote Text Char"/>
    <w:link w:val="821"/>
    <w:uiPriority w:val="99"/>
    <w:rPr>
      <w:sz w:val="20"/>
    </w:rPr>
  </w:style>
  <w:style w:type="paragraph" w:styleId="657" w:default="1">
    <w:name w:val="Normal"/>
    <w:qFormat/>
  </w:style>
  <w:style w:type="paragraph" w:styleId="658">
    <w:name w:val="Heading 1"/>
    <w:basedOn w:val="657"/>
    <w:next w:val="657"/>
    <w:link w:val="67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657"/>
    <w:next w:val="657"/>
    <w:link w:val="67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link w:val="67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link w:val="67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7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4">
    <w:name w:val="Heading 7"/>
    <w:basedOn w:val="657"/>
    <w:next w:val="657"/>
    <w:link w:val="67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5">
    <w:name w:val="Heading 8"/>
    <w:basedOn w:val="657"/>
    <w:next w:val="657"/>
    <w:link w:val="67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6">
    <w:name w:val="Heading 9"/>
    <w:basedOn w:val="657"/>
    <w:next w:val="657"/>
    <w:link w:val="67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basedOn w:val="667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spacing w:after="0" w:line="240" w:lineRule="auto"/>
    </w:pPr>
  </w:style>
  <w:style w:type="paragraph" w:styleId="680">
    <w:name w:val="Title"/>
    <w:basedOn w:val="657"/>
    <w:next w:val="657"/>
    <w:link w:val="681"/>
    <w:uiPriority w:val="10"/>
    <w:qFormat/>
    <w:pPr>
      <w:contextualSpacing/>
      <w:spacing w:before="300"/>
    </w:pPr>
    <w:rPr>
      <w:sz w:val="48"/>
      <w:szCs w:val="48"/>
    </w:rPr>
  </w:style>
  <w:style w:type="character" w:styleId="681" w:customStyle="1">
    <w:name w:val="Заголовок Знак"/>
    <w:basedOn w:val="667"/>
    <w:link w:val="680"/>
    <w:uiPriority w:val="10"/>
    <w:rPr>
      <w:sz w:val="48"/>
      <w:szCs w:val="48"/>
    </w:rPr>
  </w:style>
  <w:style w:type="paragraph" w:styleId="682">
    <w:name w:val="Subtitle"/>
    <w:basedOn w:val="657"/>
    <w:next w:val="657"/>
    <w:link w:val="683"/>
    <w:uiPriority w:val="11"/>
    <w:qFormat/>
    <w:pPr>
      <w:spacing w:before="200"/>
    </w:pPr>
    <w:rPr>
      <w:sz w:val="24"/>
      <w:szCs w:val="24"/>
    </w:rPr>
  </w:style>
  <w:style w:type="character" w:styleId="683" w:customStyle="1">
    <w:name w:val="Подзаголовок Знак"/>
    <w:basedOn w:val="667"/>
    <w:link w:val="682"/>
    <w:uiPriority w:val="11"/>
    <w:rPr>
      <w:sz w:val="24"/>
      <w:szCs w:val="24"/>
    </w:rPr>
  </w:style>
  <w:style w:type="paragraph" w:styleId="684">
    <w:name w:val="Quote"/>
    <w:basedOn w:val="657"/>
    <w:next w:val="657"/>
    <w:link w:val="685"/>
    <w:uiPriority w:val="29"/>
    <w:qFormat/>
    <w:pPr>
      <w:ind w:left="720" w:right="720"/>
    </w:pPr>
    <w:rPr>
      <w:i/>
    </w:rPr>
  </w:style>
  <w:style w:type="character" w:styleId="685" w:customStyle="1">
    <w:name w:val="Цитата 2 Знак"/>
    <w:link w:val="684"/>
    <w:uiPriority w:val="29"/>
    <w:rPr>
      <w:i/>
    </w:rPr>
  </w:style>
  <w:style w:type="paragraph" w:styleId="686">
    <w:name w:val="Intense Quote"/>
    <w:basedOn w:val="657"/>
    <w:next w:val="657"/>
    <w:link w:val="6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 w:customStyle="1">
    <w:name w:val="Выделенная цитата Знак"/>
    <w:link w:val="686"/>
    <w:uiPriority w:val="30"/>
    <w:rPr>
      <w:i/>
    </w:rPr>
  </w:style>
  <w:style w:type="character" w:styleId="688" w:customStyle="1">
    <w:name w:val="Header Char"/>
    <w:basedOn w:val="667"/>
    <w:uiPriority w:val="99"/>
  </w:style>
  <w:style w:type="character" w:styleId="689" w:customStyle="1">
    <w:name w:val="Footer Char"/>
    <w:basedOn w:val="667"/>
    <w:uiPriority w:val="99"/>
  </w:style>
  <w:style w:type="paragraph" w:styleId="690">
    <w:name w:val="Caption"/>
    <w:basedOn w:val="657"/>
    <w:next w:val="65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1" w:customStyle="1">
    <w:name w:val="Caption Char"/>
    <w:uiPriority w:val="99"/>
  </w:style>
  <w:style w:type="table" w:styleId="692">
    <w:name w:val="Table Grid"/>
    <w:basedOn w:val="6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3" w:customStyle="1">
    <w:name w:val="Table Grid Light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4">
    <w:name w:val="Plain Table 1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2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3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4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5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6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7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4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6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7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8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9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5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7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9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0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6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7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8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9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0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1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3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4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5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6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7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8">
    <w:name w:val="footnote text"/>
    <w:basedOn w:val="657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7"/>
    <w:uiPriority w:val="99"/>
    <w:unhideWhenUsed/>
    <w:rPr>
      <w:vertAlign w:val="superscript"/>
    </w:rPr>
  </w:style>
  <w:style w:type="paragraph" w:styleId="821">
    <w:name w:val="endnote text"/>
    <w:basedOn w:val="657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7"/>
    <w:uiPriority w:val="99"/>
    <w:semiHidden/>
    <w:unhideWhenUsed/>
    <w:rPr>
      <w:vertAlign w:val="superscript"/>
    </w:rPr>
  </w:style>
  <w:style w:type="paragraph" w:styleId="824">
    <w:name w:val="toc 1"/>
    <w:basedOn w:val="657"/>
    <w:next w:val="657"/>
    <w:uiPriority w:val="39"/>
    <w:unhideWhenUsed/>
    <w:pPr>
      <w:spacing w:after="57"/>
    </w:pPr>
  </w:style>
  <w:style w:type="paragraph" w:styleId="825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26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27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28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29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30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31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32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7"/>
    <w:next w:val="657"/>
    <w:uiPriority w:val="99"/>
    <w:unhideWhenUsed/>
    <w:pPr>
      <w:spacing w:after="0"/>
    </w:pPr>
  </w:style>
  <w:style w:type="paragraph" w:styleId="83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8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9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0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41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42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3" w:customStyle="1">
    <w:name w:val="Знак"/>
    <w:basedOn w:val="657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4">
    <w:name w:val="Hyperlink"/>
    <w:basedOn w:val="667"/>
    <w:uiPriority w:val="99"/>
    <w:unhideWhenUsed/>
    <w:rPr>
      <w:color w:val="0000ff" w:themeColor="hyperlink"/>
      <w:u w:val="single"/>
    </w:rPr>
  </w:style>
  <w:style w:type="paragraph" w:styleId="845" w:customStyle="1">
    <w:name w:val="Знак"/>
    <w:basedOn w:val="657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6">
    <w:name w:val="Normal (Web)"/>
    <w:basedOn w:val="65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7">
    <w:name w:val="List Paragraph"/>
    <w:basedOn w:val="657"/>
    <w:uiPriority w:val="34"/>
    <w:qFormat/>
    <w:pPr>
      <w:contextualSpacing/>
      <w:ind w:left="720"/>
    </w:pPr>
  </w:style>
  <w:style w:type="paragraph" w:styleId="848">
    <w:name w:val="Header"/>
    <w:basedOn w:val="657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667"/>
    <w:link w:val="848"/>
    <w:uiPriority w:val="99"/>
  </w:style>
  <w:style w:type="paragraph" w:styleId="850">
    <w:name w:val="Footer"/>
    <w:basedOn w:val="657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667"/>
    <w:link w:val="850"/>
    <w:uiPriority w:val="99"/>
  </w:style>
  <w:style w:type="character" w:styleId="852">
    <w:name w:val="Unresolved Mention"/>
    <w:basedOn w:val="66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trufanova@belap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A323-FD03-4B45-86B8-E268CFCF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22</cp:revision>
  <dcterms:created xsi:type="dcterms:W3CDTF">2024-02-16T12:00:00Z</dcterms:created>
  <dcterms:modified xsi:type="dcterms:W3CDTF">2025-02-11T14:20:06Z</dcterms:modified>
</cp:coreProperties>
</file>