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0"/>
        <w:outlineLvl w:val="0"/>
      </w:pPr>
      <w:r>
        <w:rPr>
          <w:sz w:val="20"/>
        </w:rPr>
      </w:r>
    </w:p>
    <w:p>
      <w:pPr>
        <w:pStyle w:val="2"/>
        <w:jc w:val="center"/>
      </w:pPr>
      <w:r>
        <w:rPr>
          <w:sz w:val="20"/>
        </w:rPr>
        <w:t xml:space="preserve">СОВЕТ ДЕПУТАТОВ ГРАЙВОРОНСКОГО МУНИЦИПАЛЬНОГО ОКРУГА</w:t>
      </w:r>
    </w:p>
    <w:p>
      <w:pPr>
        <w:pStyle w:val="2"/>
      </w:pPr>
      <w:r>
        <w:rPr>
          <w:sz w:val="20"/>
        </w:rPr>
      </w:r>
    </w:p>
    <w:p>
      <w:pPr>
        <w:pStyle w:val="2"/>
        <w:jc w:val="center"/>
      </w:pPr>
      <w:r>
        <w:rPr>
          <w:sz w:val="20"/>
        </w:rPr>
        <w:t xml:space="preserve">РЕШЕНИЕ</w:t>
      </w:r>
    </w:p>
    <w:p>
      <w:pPr>
        <w:pStyle w:val="2"/>
        <w:jc w:val="center"/>
      </w:pPr>
      <w:r>
        <w:rPr>
          <w:sz w:val="20"/>
        </w:rPr>
        <w:t xml:space="preserve">от 25 сентября 2024 г. N 108</w:t>
      </w:r>
    </w:p>
    <w:p>
      <w:pPr>
        <w:pStyle w:val="2"/>
        <w:jc w:val="both"/>
      </w:pPr>
      <w:r>
        <w:rPr>
          <w:sz w:val="20"/>
        </w:rPr>
      </w:r>
    </w:p>
    <w:p>
      <w:pPr>
        <w:pStyle w:val="2"/>
        <w:jc w:val="center"/>
      </w:pPr>
      <w:r>
        <w:rPr>
          <w:sz w:val="20"/>
        </w:rPr>
        <w:t xml:space="preserve">О ЗЕМЕЛЬНОМ НАЛОГЕ НА ТЕРРИТОРИИ ГРАЙВОРОНСКОГО</w:t>
      </w:r>
    </w:p>
    <w:p>
      <w:pPr>
        <w:pStyle w:val="2"/>
        <w:jc w:val="center"/>
      </w:pPr>
      <w:r>
        <w:rPr>
          <w:sz w:val="20"/>
        </w:rPr>
        <w:t xml:space="preserve">МУНИЦИПАЛЬНОГО ОКРУГА БЕЛГОРОДСКОЙ ОБЛАСТИ</w:t>
      </w:r>
    </w:p>
    <w:p>
      <w:pPr>
        <w:pStyle w:val="0"/>
        <w:jc w:val="both"/>
      </w:pPr>
      <w:r>
        <w:rPr>
          <w:sz w:val="20"/>
        </w:rPr>
      </w:r>
    </w:p>
    <w:p>
      <w:pPr>
        <w:pStyle w:val="0"/>
        <w:ind w:firstLine="540"/>
        <w:jc w:val="both"/>
      </w:pPr>
      <w:r>
        <w:rPr>
          <w:sz w:val="20"/>
        </w:rPr>
        <w:t xml:space="preserve">В соответствии с </w:t>
      </w:r>
      <w:hyperlink w:history="0" r:id="rId6" w:tooltip="&quot;Налоговый кодекс Российской Федерации (часть вторая)&quot; от 05.08.2000 N 117-ФЗ (ред. от 28.12.2024, с изм. от 21.01.2025) {КонсультантПлюс}">
        <w:r>
          <w:rPr>
            <w:sz w:val="20"/>
            <w:color w:val="0000ff"/>
          </w:rPr>
          <w:t xml:space="preserve">главой 31</w:t>
        </w:r>
      </w:hyperlink>
      <w:r>
        <w:rPr>
          <w:sz w:val="20"/>
        </w:rPr>
        <w:t xml:space="preserve"> "Земельный налог" Налогового кодекса Российской Федерации, Федеральным </w:t>
      </w:r>
      <w:hyperlink w:history="0" r:id="rId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руководствуясь Уставом Грайворонского муниципального округа Белгородской области, Совет депутатов Грайворонского муниципального округа Белгородской области решил:</w:t>
      </w:r>
    </w:p>
    <w:p>
      <w:pPr>
        <w:pStyle w:val="0"/>
        <w:jc w:val="both"/>
      </w:pPr>
      <w:r>
        <w:rPr>
          <w:sz w:val="20"/>
        </w:rPr>
      </w:r>
    </w:p>
    <w:p>
      <w:pPr>
        <w:pStyle w:val="0"/>
        <w:ind w:firstLine="540"/>
        <w:jc w:val="both"/>
      </w:pPr>
      <w:r>
        <w:rPr>
          <w:sz w:val="20"/>
        </w:rPr>
        <w:t xml:space="preserve">1. Установить на территории Грайворонского муниципального округа Белгородской области земельный налог.</w:t>
      </w:r>
    </w:p>
    <w:p>
      <w:pPr>
        <w:pStyle w:val="0"/>
        <w:ind w:firstLine="540"/>
        <w:jc w:val="both"/>
      </w:pPr>
      <w:r>
        <w:rPr>
          <w:sz w:val="20"/>
        </w:rPr>
      </w:r>
    </w:p>
    <w:p>
      <w:pPr>
        <w:pStyle w:val="0"/>
        <w:ind w:firstLine="540"/>
        <w:jc w:val="both"/>
      </w:pPr>
      <w:r>
        <w:rPr>
          <w:sz w:val="20"/>
        </w:rPr>
        <w:t xml:space="preserve">2. Определить налоговые ставки, налоговые льготы, основания и порядок их применения, а также определить в отношении налогоплательщиков-организаций порядок и сроки уплаты налога за земли, находящиеся в пределах границ Грайворонского муниципального округа Белгородской области.</w:t>
      </w:r>
    </w:p>
    <w:p>
      <w:pPr>
        <w:pStyle w:val="0"/>
        <w:spacing w:before="200" w:line-rule="auto"/>
        <w:ind w:firstLine="540"/>
        <w:jc w:val="both"/>
      </w:pPr>
      <w:r>
        <w:rPr>
          <w:sz w:val="20"/>
        </w:rPr>
        <w:t xml:space="preserve">2.1. Объектом налогообложения признаются земельные участки, расположенные в пределах территории Грайворонского муниципального округа, за исключением земельных участков, указанных в </w:t>
      </w:r>
      <w:hyperlink w:history="0" r:id="rId8" w:tooltip="&quot;Налоговый кодекс Российской Федерации (часть вторая)&quot; от 05.08.2000 N 117-ФЗ (ред. от 28.12.2024, с изм. от 21.01.2025) {КонсультантПлюс}">
        <w:r>
          <w:rPr>
            <w:sz w:val="20"/>
            <w:color w:val="0000ff"/>
          </w:rPr>
          <w:t xml:space="preserve">пункте 2 статьи 389 главы 31</w:t>
        </w:r>
      </w:hyperlink>
      <w:r>
        <w:rPr>
          <w:sz w:val="20"/>
        </w:rPr>
        <w:t xml:space="preserve"> Налогового кодекса Российской Федерации.</w:t>
      </w:r>
    </w:p>
    <w:p>
      <w:pPr>
        <w:pStyle w:val="0"/>
        <w:spacing w:before="200" w:line-rule="auto"/>
        <w:ind w:firstLine="540"/>
        <w:jc w:val="both"/>
      </w:pPr>
      <w:r>
        <w:rPr>
          <w:sz w:val="20"/>
        </w:rPr>
        <w:t xml:space="preserve">2.2. Налогоплательщики-организации определяют налоговую базу самостоятельно на основании сведений Единого государственного реестра недвижимости о каждом земельном участке, принадлежащем им на праве собственности или праве постоянного (бессрочного) пользования.</w:t>
      </w:r>
    </w:p>
    <w:p>
      <w:pPr>
        <w:pStyle w:val="0"/>
        <w:spacing w:before="200" w:line-rule="auto"/>
        <w:ind w:firstLine="540"/>
        <w:jc w:val="both"/>
      </w:pPr>
      <w:r>
        <w:rPr>
          <w:sz w:val="20"/>
        </w:rPr>
        <w:t xml:space="preserve">2.3. Определить налоговые ставки в следующих размерах:</w:t>
      </w:r>
    </w:p>
    <w:p>
      <w:pPr>
        <w:pStyle w:val="0"/>
        <w:spacing w:before="200" w:line-rule="auto"/>
        <w:ind w:firstLine="540"/>
        <w:jc w:val="both"/>
      </w:pPr>
      <w:r>
        <w:rPr>
          <w:sz w:val="20"/>
        </w:rPr>
        <w:t xml:space="preserve">1) 0,3 процента в отношении земельных участков:</w:t>
      </w:r>
    </w:p>
    <w:p>
      <w:pPr>
        <w:pStyle w:val="0"/>
        <w:spacing w:before="200" w:line-rule="auto"/>
        <w:ind w:firstLine="540"/>
        <w:jc w:val="both"/>
      </w:pPr>
      <w:r>
        <w:rPr>
          <w:sz w:val="20"/>
        </w:rPr>
        <w:t xml:space="preserve">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w:t>
      </w:r>
    </w:p>
    <w:p>
      <w:pPr>
        <w:pStyle w:val="0"/>
        <w:spacing w:before="200" w:line-rule="auto"/>
        <w:ind w:firstLine="540"/>
        <w:jc w:val="both"/>
      </w:pPr>
      <w:r>
        <w:rPr>
          <w:sz w:val="20"/>
        </w:rPr>
        <w:t xml:space="preserve">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индивидуального жилищного строительства (за исключением земельных участков, используемых в предпринимательской деятельности);</w:t>
      </w:r>
    </w:p>
    <w:p>
      <w:pPr>
        <w:pStyle w:val="0"/>
        <w:spacing w:before="200" w:line-rule="auto"/>
        <w:ind w:firstLine="540"/>
        <w:jc w:val="both"/>
      </w:pPr>
      <w:r>
        <w:rPr>
          <w:sz w:val="20"/>
        </w:rPr>
        <w:t xml:space="preserve">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pPr>
        <w:pStyle w:val="0"/>
        <w:spacing w:before="200" w:line-rule="auto"/>
        <w:ind w:firstLine="540"/>
        <w:jc w:val="both"/>
      </w:pPr>
      <w:r>
        <w:rPr>
          <w:sz w:val="20"/>
        </w:rPr>
        <w:t xml:space="preserve">2)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w:t>
      </w:r>
      <w:hyperlink w:history="0" r:id="rId9" w:tooltip="Федеральный закон от 29.07.2017 N 217-ФЗ (ред. от 22.07.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по следующим населенным пунктам:</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678"/>
        <w:gridCol w:w="1871"/>
      </w:tblGrid>
      <w:tr>
        <w:tc>
          <w:tcPr>
            <w:tcW w:w="4678" w:type="dxa"/>
            <w:vAlign w:val="center"/>
          </w:tcPr>
          <w:p>
            <w:pPr>
              <w:pStyle w:val="0"/>
              <w:jc w:val="center"/>
            </w:pPr>
            <w:r>
              <w:rPr>
                <w:sz w:val="20"/>
              </w:rPr>
              <w:t xml:space="preserve">Наименование населенного пункта</w:t>
            </w:r>
          </w:p>
        </w:tc>
        <w:tc>
          <w:tcPr>
            <w:tcW w:w="1871" w:type="dxa"/>
            <w:vAlign w:val="center"/>
          </w:tcPr>
          <w:p>
            <w:pPr>
              <w:pStyle w:val="0"/>
              <w:jc w:val="center"/>
            </w:pPr>
            <w:r>
              <w:rPr>
                <w:sz w:val="20"/>
              </w:rPr>
              <w:t xml:space="preserve">Ставка налога</w:t>
            </w:r>
          </w:p>
        </w:tc>
      </w:tr>
      <w:tr>
        <w:tc>
          <w:tcPr>
            <w:tcW w:w="4678" w:type="dxa"/>
          </w:tcPr>
          <w:p>
            <w:pPr>
              <w:pStyle w:val="0"/>
              <w:jc w:val="both"/>
            </w:pPr>
            <w:r>
              <w:rPr>
                <w:sz w:val="20"/>
              </w:rPr>
              <w:t xml:space="preserve">г. Грайворон</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Луговка</w:t>
            </w:r>
          </w:p>
        </w:tc>
        <w:tc>
          <w:tcPr>
            <w:tcW w:w="1871" w:type="dxa"/>
          </w:tcPr>
          <w:p>
            <w:pPr>
              <w:pStyle w:val="0"/>
              <w:jc w:val="center"/>
            </w:pPr>
            <w:r>
              <w:rPr>
                <w:sz w:val="20"/>
              </w:rPr>
              <w:t xml:space="preserve">0,18</w:t>
            </w:r>
          </w:p>
        </w:tc>
      </w:tr>
      <w:tr>
        <w:tc>
          <w:tcPr>
            <w:tcW w:w="4678" w:type="dxa"/>
          </w:tcPr>
          <w:p>
            <w:pPr>
              <w:pStyle w:val="0"/>
            </w:pPr>
            <w:r>
              <w:rPr>
                <w:sz w:val="20"/>
              </w:rPr>
              <w:t xml:space="preserve">с. Безымено</w:t>
            </w:r>
          </w:p>
        </w:tc>
        <w:tc>
          <w:tcPr>
            <w:tcW w:w="1871" w:type="dxa"/>
          </w:tcPr>
          <w:p>
            <w:pPr>
              <w:pStyle w:val="0"/>
              <w:jc w:val="center"/>
            </w:pPr>
            <w:r>
              <w:rPr>
                <w:sz w:val="20"/>
              </w:rPr>
              <w:t xml:space="preserve">0,28</w:t>
            </w:r>
          </w:p>
        </w:tc>
      </w:tr>
      <w:tr>
        <w:tc>
          <w:tcPr>
            <w:tcW w:w="4678" w:type="dxa"/>
          </w:tcPr>
          <w:p>
            <w:pPr>
              <w:pStyle w:val="0"/>
              <w:jc w:val="both"/>
            </w:pPr>
            <w:r>
              <w:rPr>
                <w:sz w:val="20"/>
              </w:rPr>
              <w:t xml:space="preserve">с. Головчино</w:t>
            </w:r>
          </w:p>
        </w:tc>
        <w:tc>
          <w:tcPr>
            <w:tcW w:w="1871" w:type="dxa"/>
          </w:tcPr>
          <w:p>
            <w:pPr>
              <w:pStyle w:val="0"/>
              <w:jc w:val="center"/>
            </w:pPr>
            <w:r>
              <w:rPr>
                <w:sz w:val="20"/>
              </w:rPr>
              <w:t xml:space="preserve">0,10</w:t>
            </w:r>
          </w:p>
        </w:tc>
      </w:tr>
      <w:tr>
        <w:tc>
          <w:tcPr>
            <w:tcW w:w="4678" w:type="dxa"/>
          </w:tcPr>
          <w:p>
            <w:pPr>
              <w:pStyle w:val="0"/>
              <w:jc w:val="both"/>
            </w:pPr>
            <w:r>
              <w:rPr>
                <w:sz w:val="20"/>
              </w:rPr>
              <w:t xml:space="preserve">с. Антоновка</w:t>
            </w:r>
          </w:p>
        </w:tc>
        <w:tc>
          <w:tcPr>
            <w:tcW w:w="1871" w:type="dxa"/>
          </w:tcPr>
          <w:p>
            <w:pPr>
              <w:pStyle w:val="0"/>
              <w:jc w:val="center"/>
            </w:pPr>
            <w:r>
              <w:rPr>
                <w:sz w:val="20"/>
              </w:rPr>
              <w:t xml:space="preserve">0,16</w:t>
            </w:r>
          </w:p>
        </w:tc>
      </w:tr>
      <w:tr>
        <w:tc>
          <w:tcPr>
            <w:tcW w:w="4678" w:type="dxa"/>
          </w:tcPr>
          <w:p>
            <w:pPr>
              <w:pStyle w:val="0"/>
              <w:jc w:val="both"/>
            </w:pPr>
            <w:r>
              <w:rPr>
                <w:sz w:val="20"/>
              </w:rPr>
              <w:t xml:space="preserve">х. Масычево</w:t>
            </w:r>
          </w:p>
        </w:tc>
        <w:tc>
          <w:tcPr>
            <w:tcW w:w="1871" w:type="dxa"/>
          </w:tcPr>
          <w:p>
            <w:pPr>
              <w:pStyle w:val="0"/>
              <w:jc w:val="center"/>
            </w:pPr>
            <w:r>
              <w:rPr>
                <w:sz w:val="20"/>
              </w:rPr>
              <w:t xml:space="preserve">0,20</w:t>
            </w:r>
          </w:p>
        </w:tc>
      </w:tr>
      <w:tr>
        <w:tc>
          <w:tcPr>
            <w:tcW w:w="4678" w:type="dxa"/>
          </w:tcPr>
          <w:p>
            <w:pPr>
              <w:pStyle w:val="0"/>
              <w:jc w:val="both"/>
            </w:pPr>
            <w:r>
              <w:rPr>
                <w:sz w:val="20"/>
              </w:rPr>
              <w:t xml:space="preserve">п. Хотмыжск</w:t>
            </w:r>
          </w:p>
        </w:tc>
        <w:tc>
          <w:tcPr>
            <w:tcW w:w="1871" w:type="dxa"/>
          </w:tcPr>
          <w:p>
            <w:pPr>
              <w:pStyle w:val="0"/>
              <w:jc w:val="center"/>
            </w:pPr>
            <w:r>
              <w:rPr>
                <w:sz w:val="20"/>
              </w:rPr>
              <w:t xml:space="preserve">0,19</w:t>
            </w:r>
          </w:p>
        </w:tc>
      </w:tr>
      <w:tr>
        <w:tc>
          <w:tcPr>
            <w:tcW w:w="4678" w:type="dxa"/>
          </w:tcPr>
          <w:p>
            <w:pPr>
              <w:pStyle w:val="0"/>
              <w:jc w:val="both"/>
            </w:pPr>
            <w:r>
              <w:rPr>
                <w:sz w:val="20"/>
              </w:rPr>
              <w:t xml:space="preserve">п. Горьковский</w:t>
            </w:r>
          </w:p>
        </w:tc>
        <w:tc>
          <w:tcPr>
            <w:tcW w:w="1871" w:type="dxa"/>
          </w:tcPr>
          <w:p>
            <w:pPr>
              <w:pStyle w:val="0"/>
              <w:jc w:val="center"/>
            </w:pPr>
            <w:r>
              <w:rPr>
                <w:sz w:val="20"/>
              </w:rPr>
              <w:t xml:space="preserve">0,30</w:t>
            </w:r>
          </w:p>
        </w:tc>
      </w:tr>
      <w:tr>
        <w:tc>
          <w:tcPr>
            <w:tcW w:w="4678" w:type="dxa"/>
          </w:tcPr>
          <w:p>
            <w:pPr>
              <w:pStyle w:val="0"/>
              <w:jc w:val="both"/>
            </w:pPr>
            <w:r>
              <w:rPr>
                <w:sz w:val="20"/>
              </w:rPr>
              <w:t xml:space="preserve">п. Чапаевский</w:t>
            </w:r>
          </w:p>
        </w:tc>
        <w:tc>
          <w:tcPr>
            <w:tcW w:w="1871" w:type="dxa"/>
          </w:tcPr>
          <w:p>
            <w:pPr>
              <w:pStyle w:val="0"/>
              <w:jc w:val="center"/>
            </w:pPr>
            <w:r>
              <w:rPr>
                <w:sz w:val="20"/>
              </w:rPr>
              <w:t xml:space="preserve">0,30</w:t>
            </w:r>
          </w:p>
        </w:tc>
      </w:tr>
      <w:tr>
        <w:tc>
          <w:tcPr>
            <w:tcW w:w="4678" w:type="dxa"/>
          </w:tcPr>
          <w:p>
            <w:pPr>
              <w:pStyle w:val="0"/>
              <w:jc w:val="both"/>
            </w:pPr>
            <w:r>
              <w:rPr>
                <w:sz w:val="20"/>
              </w:rPr>
              <w:t xml:space="preserve">п. Доброполье</w:t>
            </w:r>
          </w:p>
        </w:tc>
        <w:tc>
          <w:tcPr>
            <w:tcW w:w="1871" w:type="dxa"/>
          </w:tcPr>
          <w:p>
            <w:pPr>
              <w:pStyle w:val="0"/>
              <w:jc w:val="center"/>
            </w:pPr>
            <w:r>
              <w:rPr>
                <w:sz w:val="20"/>
              </w:rPr>
              <w:t xml:space="preserve">0,30</w:t>
            </w:r>
          </w:p>
        </w:tc>
      </w:tr>
      <w:tr>
        <w:tc>
          <w:tcPr>
            <w:tcW w:w="4678" w:type="dxa"/>
          </w:tcPr>
          <w:p>
            <w:pPr>
              <w:pStyle w:val="0"/>
              <w:jc w:val="both"/>
            </w:pPr>
            <w:r>
              <w:rPr>
                <w:sz w:val="20"/>
              </w:rPr>
              <w:t xml:space="preserve">п. Совхозный</w:t>
            </w:r>
          </w:p>
        </w:tc>
        <w:tc>
          <w:tcPr>
            <w:tcW w:w="1871" w:type="dxa"/>
          </w:tcPr>
          <w:p>
            <w:pPr>
              <w:pStyle w:val="0"/>
              <w:jc w:val="center"/>
            </w:pPr>
            <w:r>
              <w:rPr>
                <w:sz w:val="20"/>
              </w:rPr>
              <w:t xml:space="preserve">0,30</w:t>
            </w:r>
          </w:p>
        </w:tc>
      </w:tr>
      <w:tr>
        <w:tc>
          <w:tcPr>
            <w:tcW w:w="4678" w:type="dxa"/>
          </w:tcPr>
          <w:p>
            <w:pPr>
              <w:pStyle w:val="0"/>
              <w:jc w:val="both"/>
            </w:pPr>
            <w:r>
              <w:rPr>
                <w:sz w:val="20"/>
              </w:rPr>
              <w:t xml:space="preserve">п. Казачок</w:t>
            </w:r>
          </w:p>
        </w:tc>
        <w:tc>
          <w:tcPr>
            <w:tcW w:w="1871" w:type="dxa"/>
          </w:tcPr>
          <w:p>
            <w:pPr>
              <w:pStyle w:val="0"/>
              <w:jc w:val="center"/>
            </w:pPr>
            <w:r>
              <w:rPr>
                <w:sz w:val="20"/>
              </w:rPr>
              <w:t xml:space="preserve">0,30</w:t>
            </w:r>
          </w:p>
        </w:tc>
      </w:tr>
      <w:tr>
        <w:tc>
          <w:tcPr>
            <w:tcW w:w="4678" w:type="dxa"/>
          </w:tcPr>
          <w:p>
            <w:pPr>
              <w:pStyle w:val="0"/>
            </w:pPr>
            <w:r>
              <w:rPr>
                <w:sz w:val="20"/>
              </w:rPr>
              <w:t xml:space="preserve">с. Глотово</w:t>
            </w:r>
          </w:p>
        </w:tc>
        <w:tc>
          <w:tcPr>
            <w:tcW w:w="1871" w:type="dxa"/>
          </w:tcPr>
          <w:p>
            <w:pPr>
              <w:pStyle w:val="0"/>
              <w:jc w:val="center"/>
            </w:pPr>
            <w:r>
              <w:rPr>
                <w:sz w:val="20"/>
              </w:rPr>
              <w:t xml:space="preserve">0,29</w:t>
            </w:r>
          </w:p>
        </w:tc>
      </w:tr>
      <w:tr>
        <w:tc>
          <w:tcPr>
            <w:tcW w:w="4678" w:type="dxa"/>
          </w:tcPr>
          <w:p>
            <w:pPr>
              <w:pStyle w:val="0"/>
            </w:pPr>
            <w:r>
              <w:rPr>
                <w:sz w:val="20"/>
              </w:rPr>
              <w:t xml:space="preserve">с. Гора-Подол</w:t>
            </w:r>
          </w:p>
        </w:tc>
        <w:tc>
          <w:tcPr>
            <w:tcW w:w="1871" w:type="dxa"/>
          </w:tcPr>
          <w:p>
            <w:pPr>
              <w:pStyle w:val="0"/>
              <w:jc w:val="center"/>
            </w:pPr>
            <w:r>
              <w:rPr>
                <w:sz w:val="20"/>
              </w:rPr>
              <w:t xml:space="preserve">0,22</w:t>
            </w:r>
          </w:p>
        </w:tc>
      </w:tr>
      <w:tr>
        <w:tc>
          <w:tcPr>
            <w:tcW w:w="4678" w:type="dxa"/>
            <w:vAlign w:val="center"/>
          </w:tcPr>
          <w:p>
            <w:pPr>
              <w:pStyle w:val="0"/>
            </w:pPr>
            <w:r>
              <w:rPr>
                <w:sz w:val="20"/>
              </w:rPr>
              <w:t xml:space="preserve">с. Доброе</w:t>
            </w:r>
          </w:p>
        </w:tc>
        <w:tc>
          <w:tcPr>
            <w:tcW w:w="1871" w:type="dxa"/>
            <w:vAlign w:val="center"/>
          </w:tcPr>
          <w:p>
            <w:pPr>
              <w:pStyle w:val="0"/>
              <w:jc w:val="center"/>
            </w:pPr>
            <w:r>
              <w:rPr>
                <w:sz w:val="20"/>
              </w:rPr>
              <w:t xml:space="preserve">0,20</w:t>
            </w:r>
          </w:p>
        </w:tc>
      </w:tr>
      <w:tr>
        <w:tc>
          <w:tcPr>
            <w:tcW w:w="4678" w:type="dxa"/>
            <w:vAlign w:val="center"/>
          </w:tcPr>
          <w:p>
            <w:pPr>
              <w:pStyle w:val="0"/>
            </w:pPr>
            <w:r>
              <w:rPr>
                <w:sz w:val="20"/>
              </w:rPr>
              <w:t xml:space="preserve">с. Доброивановка</w:t>
            </w:r>
          </w:p>
        </w:tc>
        <w:tc>
          <w:tcPr>
            <w:tcW w:w="1871" w:type="dxa"/>
            <w:vAlign w:val="center"/>
          </w:tcPr>
          <w:p>
            <w:pPr>
              <w:pStyle w:val="0"/>
              <w:jc w:val="center"/>
            </w:pPr>
            <w:r>
              <w:rPr>
                <w:sz w:val="20"/>
              </w:rPr>
              <w:t xml:space="preserve">0,16</w:t>
            </w:r>
          </w:p>
        </w:tc>
      </w:tr>
      <w:tr>
        <w:tc>
          <w:tcPr>
            <w:tcW w:w="4678" w:type="dxa"/>
            <w:vAlign w:val="center"/>
          </w:tcPr>
          <w:p>
            <w:pPr>
              <w:pStyle w:val="0"/>
            </w:pPr>
            <w:r>
              <w:rPr>
                <w:sz w:val="20"/>
              </w:rPr>
              <w:t xml:space="preserve">с. Замостье</w:t>
            </w:r>
          </w:p>
        </w:tc>
        <w:tc>
          <w:tcPr>
            <w:tcW w:w="1871" w:type="dxa"/>
            <w:vAlign w:val="center"/>
          </w:tcPr>
          <w:p>
            <w:pPr>
              <w:pStyle w:val="0"/>
              <w:jc w:val="center"/>
            </w:pPr>
            <w:r>
              <w:rPr>
                <w:sz w:val="20"/>
              </w:rPr>
              <w:t xml:space="preserve">0,16</w:t>
            </w:r>
          </w:p>
        </w:tc>
      </w:tr>
      <w:tr>
        <w:tc>
          <w:tcPr>
            <w:tcW w:w="4678" w:type="dxa"/>
            <w:vAlign w:val="center"/>
          </w:tcPr>
          <w:p>
            <w:pPr>
              <w:pStyle w:val="0"/>
            </w:pPr>
            <w:r>
              <w:rPr>
                <w:sz w:val="20"/>
              </w:rPr>
              <w:t xml:space="preserve">х. Тополи</w:t>
            </w:r>
          </w:p>
        </w:tc>
        <w:tc>
          <w:tcPr>
            <w:tcW w:w="1871" w:type="dxa"/>
            <w:vAlign w:val="center"/>
          </w:tcPr>
          <w:p>
            <w:pPr>
              <w:pStyle w:val="0"/>
              <w:jc w:val="center"/>
            </w:pPr>
            <w:r>
              <w:rPr>
                <w:sz w:val="20"/>
              </w:rPr>
              <w:t xml:space="preserve">0,27</w:t>
            </w:r>
          </w:p>
        </w:tc>
      </w:tr>
      <w:tr>
        <w:tc>
          <w:tcPr>
            <w:tcW w:w="4678" w:type="dxa"/>
          </w:tcPr>
          <w:p>
            <w:pPr>
              <w:pStyle w:val="0"/>
              <w:jc w:val="both"/>
            </w:pPr>
            <w:r>
              <w:rPr>
                <w:sz w:val="20"/>
              </w:rPr>
              <w:t xml:space="preserve">с. Дорогощь</w:t>
            </w:r>
          </w:p>
        </w:tc>
        <w:tc>
          <w:tcPr>
            <w:tcW w:w="1871" w:type="dxa"/>
          </w:tcPr>
          <w:p>
            <w:pPr>
              <w:pStyle w:val="0"/>
              <w:jc w:val="center"/>
            </w:pPr>
            <w:r>
              <w:rPr>
                <w:sz w:val="20"/>
              </w:rPr>
              <w:t xml:space="preserve">0,29</w:t>
            </w:r>
          </w:p>
        </w:tc>
      </w:tr>
      <w:tr>
        <w:tc>
          <w:tcPr>
            <w:tcW w:w="4678" w:type="dxa"/>
          </w:tcPr>
          <w:p>
            <w:pPr>
              <w:pStyle w:val="0"/>
              <w:jc w:val="both"/>
            </w:pPr>
            <w:r>
              <w:rPr>
                <w:sz w:val="20"/>
              </w:rPr>
              <w:t xml:space="preserve">с. Санково</w:t>
            </w:r>
          </w:p>
        </w:tc>
        <w:tc>
          <w:tcPr>
            <w:tcW w:w="1871" w:type="dxa"/>
          </w:tcPr>
          <w:p>
            <w:pPr>
              <w:pStyle w:val="0"/>
              <w:jc w:val="center"/>
            </w:pPr>
            <w:r>
              <w:rPr>
                <w:sz w:val="20"/>
              </w:rPr>
              <w:t xml:space="preserve">0,30</w:t>
            </w:r>
          </w:p>
        </w:tc>
      </w:tr>
      <w:tr>
        <w:tc>
          <w:tcPr>
            <w:tcW w:w="4678" w:type="dxa"/>
          </w:tcPr>
          <w:p>
            <w:pPr>
              <w:pStyle w:val="0"/>
            </w:pPr>
            <w:r>
              <w:rPr>
                <w:sz w:val="20"/>
              </w:rPr>
              <w:t xml:space="preserve">с. Дунайка</w:t>
            </w:r>
          </w:p>
        </w:tc>
        <w:tc>
          <w:tcPr>
            <w:tcW w:w="1871" w:type="dxa"/>
          </w:tcPr>
          <w:p>
            <w:pPr>
              <w:pStyle w:val="0"/>
              <w:jc w:val="center"/>
            </w:pPr>
            <w:r>
              <w:rPr>
                <w:sz w:val="20"/>
              </w:rPr>
              <w:t xml:space="preserve">0,30</w:t>
            </w:r>
          </w:p>
        </w:tc>
      </w:tr>
      <w:tr>
        <w:tc>
          <w:tcPr>
            <w:tcW w:w="4678" w:type="dxa"/>
          </w:tcPr>
          <w:p>
            <w:pPr>
              <w:pStyle w:val="0"/>
            </w:pPr>
            <w:r>
              <w:rPr>
                <w:sz w:val="20"/>
              </w:rPr>
              <w:t xml:space="preserve">с. Мощеное</w:t>
            </w:r>
          </w:p>
        </w:tc>
        <w:tc>
          <w:tcPr>
            <w:tcW w:w="1871" w:type="dxa"/>
          </w:tcPr>
          <w:p>
            <w:pPr>
              <w:pStyle w:val="0"/>
              <w:jc w:val="center"/>
            </w:pPr>
            <w:r>
              <w:rPr>
                <w:sz w:val="20"/>
              </w:rPr>
              <w:t xml:space="preserve">0,30</w:t>
            </w:r>
          </w:p>
        </w:tc>
      </w:tr>
      <w:tr>
        <w:tc>
          <w:tcPr>
            <w:tcW w:w="4678" w:type="dxa"/>
          </w:tcPr>
          <w:p>
            <w:pPr>
              <w:pStyle w:val="0"/>
            </w:pPr>
            <w:r>
              <w:rPr>
                <w:sz w:val="20"/>
              </w:rPr>
              <w:t xml:space="preserve">с. Пороз</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Ивановская Лисица</w:t>
            </w:r>
          </w:p>
        </w:tc>
        <w:tc>
          <w:tcPr>
            <w:tcW w:w="1871" w:type="dxa"/>
          </w:tcPr>
          <w:p>
            <w:pPr>
              <w:pStyle w:val="0"/>
              <w:jc w:val="center"/>
            </w:pPr>
            <w:r>
              <w:rPr>
                <w:sz w:val="20"/>
              </w:rPr>
              <w:t xml:space="preserve">0,28</w:t>
            </w:r>
          </w:p>
        </w:tc>
      </w:tr>
      <w:tr>
        <w:tc>
          <w:tcPr>
            <w:tcW w:w="4678" w:type="dxa"/>
          </w:tcPr>
          <w:p>
            <w:pPr>
              <w:pStyle w:val="0"/>
              <w:jc w:val="both"/>
            </w:pPr>
            <w:r>
              <w:rPr>
                <w:sz w:val="20"/>
              </w:rPr>
              <w:t xml:space="preserve">с. Казачья Лисица</w:t>
            </w:r>
          </w:p>
        </w:tc>
        <w:tc>
          <w:tcPr>
            <w:tcW w:w="1871" w:type="dxa"/>
          </w:tcPr>
          <w:p>
            <w:pPr>
              <w:pStyle w:val="0"/>
              <w:jc w:val="center"/>
            </w:pPr>
            <w:r>
              <w:rPr>
                <w:sz w:val="20"/>
              </w:rPr>
              <w:t xml:space="preserve">0,29</w:t>
            </w:r>
          </w:p>
        </w:tc>
      </w:tr>
      <w:tr>
        <w:tc>
          <w:tcPr>
            <w:tcW w:w="4678" w:type="dxa"/>
          </w:tcPr>
          <w:p>
            <w:pPr>
              <w:pStyle w:val="0"/>
            </w:pPr>
            <w:r>
              <w:rPr>
                <w:sz w:val="20"/>
              </w:rPr>
              <w:t xml:space="preserve">с. Косилово</w:t>
            </w:r>
          </w:p>
        </w:tc>
        <w:tc>
          <w:tcPr>
            <w:tcW w:w="1871" w:type="dxa"/>
          </w:tcPr>
          <w:p>
            <w:pPr>
              <w:pStyle w:val="0"/>
              <w:jc w:val="center"/>
            </w:pPr>
            <w:r>
              <w:rPr>
                <w:sz w:val="20"/>
              </w:rPr>
              <w:t xml:space="preserve">0,30</w:t>
            </w:r>
          </w:p>
        </w:tc>
      </w:tr>
      <w:tr>
        <w:tc>
          <w:tcPr>
            <w:tcW w:w="4678" w:type="dxa"/>
          </w:tcPr>
          <w:p>
            <w:pPr>
              <w:pStyle w:val="0"/>
            </w:pPr>
            <w:r>
              <w:rPr>
                <w:sz w:val="20"/>
              </w:rPr>
              <w:t xml:space="preserve">с. Ломное</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Козинка</w:t>
            </w:r>
          </w:p>
        </w:tc>
        <w:tc>
          <w:tcPr>
            <w:tcW w:w="1871" w:type="dxa"/>
          </w:tcPr>
          <w:p>
            <w:pPr>
              <w:pStyle w:val="0"/>
              <w:jc w:val="center"/>
            </w:pPr>
            <w:r>
              <w:rPr>
                <w:sz w:val="20"/>
              </w:rPr>
              <w:t xml:space="preserve">0,27</w:t>
            </w:r>
          </w:p>
        </w:tc>
      </w:tr>
      <w:tr>
        <w:tc>
          <w:tcPr>
            <w:tcW w:w="4678" w:type="dxa"/>
          </w:tcPr>
          <w:p>
            <w:pPr>
              <w:pStyle w:val="0"/>
              <w:jc w:val="both"/>
            </w:pPr>
            <w:r>
              <w:rPr>
                <w:sz w:val="20"/>
              </w:rPr>
              <w:t xml:space="preserve">с. Заречье-Первое</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Заречье-Второе</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х. Понуры</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Мокрая Орловка</w:t>
            </w:r>
          </w:p>
        </w:tc>
        <w:tc>
          <w:tcPr>
            <w:tcW w:w="1871" w:type="dxa"/>
          </w:tcPr>
          <w:p>
            <w:pPr>
              <w:pStyle w:val="0"/>
              <w:jc w:val="center"/>
            </w:pPr>
            <w:r>
              <w:rPr>
                <w:sz w:val="20"/>
              </w:rPr>
              <w:t xml:space="preserve">0,29</w:t>
            </w:r>
          </w:p>
        </w:tc>
      </w:tr>
      <w:tr>
        <w:tc>
          <w:tcPr>
            <w:tcW w:w="4678" w:type="dxa"/>
          </w:tcPr>
          <w:p>
            <w:pPr>
              <w:pStyle w:val="0"/>
              <w:jc w:val="both"/>
            </w:pPr>
            <w:r>
              <w:rPr>
                <w:sz w:val="20"/>
              </w:rPr>
              <w:t xml:space="preserve">с. Рождественка</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Сподарюшино</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Новостроевка-Первая</w:t>
            </w:r>
          </w:p>
        </w:tc>
        <w:tc>
          <w:tcPr>
            <w:tcW w:w="1871" w:type="dxa"/>
          </w:tcPr>
          <w:p>
            <w:pPr>
              <w:pStyle w:val="0"/>
              <w:jc w:val="center"/>
            </w:pPr>
            <w:r>
              <w:rPr>
                <w:sz w:val="20"/>
              </w:rPr>
              <w:t xml:space="preserve">0,27</w:t>
            </w:r>
          </w:p>
        </w:tc>
      </w:tr>
      <w:tr>
        <w:tc>
          <w:tcPr>
            <w:tcW w:w="4678" w:type="dxa"/>
          </w:tcPr>
          <w:p>
            <w:pPr>
              <w:pStyle w:val="0"/>
              <w:jc w:val="both"/>
            </w:pPr>
            <w:r>
              <w:rPr>
                <w:sz w:val="20"/>
              </w:rPr>
              <w:t xml:space="preserve">с. Новостроевка-Вторая</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х. Байрак</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Смородино</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Почаево</w:t>
            </w:r>
          </w:p>
        </w:tc>
        <w:tc>
          <w:tcPr>
            <w:tcW w:w="1871" w:type="dxa"/>
          </w:tcPr>
          <w:p>
            <w:pPr>
              <w:pStyle w:val="0"/>
              <w:jc w:val="center"/>
            </w:pPr>
            <w:r>
              <w:rPr>
                <w:sz w:val="20"/>
              </w:rPr>
              <w:t xml:space="preserve">0,30</w:t>
            </w:r>
          </w:p>
        </w:tc>
      </w:tr>
      <w:tr>
        <w:tc>
          <w:tcPr>
            <w:tcW w:w="4678" w:type="dxa"/>
          </w:tcPr>
          <w:p>
            <w:pPr>
              <w:pStyle w:val="0"/>
              <w:jc w:val="both"/>
            </w:pPr>
            <w:r>
              <w:rPr>
                <w:sz w:val="20"/>
              </w:rPr>
              <w:t xml:space="preserve">с. Дроновка</w:t>
            </w:r>
          </w:p>
        </w:tc>
        <w:tc>
          <w:tcPr>
            <w:tcW w:w="1871" w:type="dxa"/>
          </w:tcPr>
          <w:p>
            <w:pPr>
              <w:pStyle w:val="0"/>
              <w:jc w:val="center"/>
            </w:pPr>
            <w:r>
              <w:rPr>
                <w:sz w:val="20"/>
              </w:rPr>
              <w:t xml:space="preserve">0,30</w:t>
            </w:r>
          </w:p>
        </w:tc>
      </w:tr>
    </w:tbl>
    <w:p>
      <w:pPr>
        <w:pStyle w:val="0"/>
        <w:ind w:firstLine="540"/>
        <w:jc w:val="both"/>
      </w:pPr>
      <w:r>
        <w:rPr>
          <w:sz w:val="20"/>
        </w:rPr>
      </w:r>
    </w:p>
    <w:p>
      <w:pPr>
        <w:pStyle w:val="0"/>
        <w:ind w:firstLine="540"/>
        <w:jc w:val="both"/>
      </w:pPr>
      <w:r>
        <w:rPr>
          <w:sz w:val="20"/>
        </w:rPr>
        <w:t xml:space="preserve">3) 1,5 процента в отношении прочих земельных участков.</w:t>
      </w:r>
    </w:p>
    <w:p>
      <w:pPr>
        <w:pStyle w:val="0"/>
        <w:spacing w:before="200" w:line-rule="auto"/>
        <w:ind w:firstLine="540"/>
        <w:jc w:val="both"/>
      </w:pPr>
      <w:r>
        <w:rPr>
          <w:sz w:val="20"/>
        </w:rPr>
        <w:t xml:space="preserve">2.3.1. Установить на налоговые периоды 2022 года, 2023 года, 2024 года налоговую ставку в размере 0 процентов в отношении земельных участков, находящихся в собственности, расположенных в населенных пунктах, на территории которых введен режим чрезвычайной ситуации.</w:t>
      </w:r>
    </w:p>
    <w:p>
      <w:pPr>
        <w:pStyle w:val="0"/>
        <w:spacing w:before="200" w:line-rule="auto"/>
        <w:ind w:firstLine="540"/>
        <w:jc w:val="both"/>
      </w:pPr>
      <w:r>
        <w:rPr>
          <w:sz w:val="20"/>
        </w:rPr>
        <w:t xml:space="preserve">2.4. От уплаты земельного налога за земельные участки, предоставленные для ведения личного подсобного хозяйства, садоводства, огородничества или животноводства, освобождаются следующие категории налогоплательщиков:</w:t>
      </w:r>
    </w:p>
    <w:p>
      <w:pPr>
        <w:pStyle w:val="0"/>
        <w:spacing w:before="200" w:line-rule="auto"/>
        <w:ind w:firstLine="540"/>
        <w:jc w:val="both"/>
      </w:pPr>
      <w:r>
        <w:rPr>
          <w:sz w:val="20"/>
        </w:rPr>
        <w:t xml:space="preserve">а) Герои Советского Союза, Герои Российской Федерации, полные кавалеры ордена Славы;</w:t>
      </w:r>
    </w:p>
    <w:p>
      <w:pPr>
        <w:pStyle w:val="0"/>
        <w:spacing w:before="200" w:line-rule="auto"/>
        <w:ind w:firstLine="540"/>
        <w:jc w:val="both"/>
      </w:pPr>
      <w:r>
        <w:rPr>
          <w:sz w:val="20"/>
        </w:rPr>
        <w:t xml:space="preserve">б) инвалиды I и II группы инвалидности;</w:t>
      </w:r>
    </w:p>
    <w:p>
      <w:pPr>
        <w:pStyle w:val="0"/>
        <w:spacing w:before="200" w:line-rule="auto"/>
        <w:ind w:firstLine="540"/>
        <w:jc w:val="both"/>
      </w:pPr>
      <w:r>
        <w:rPr>
          <w:sz w:val="20"/>
        </w:rPr>
        <w:t xml:space="preserve">в) инвалиды с детства, дети-инвалиды;</w:t>
      </w:r>
    </w:p>
    <w:p>
      <w:pPr>
        <w:pStyle w:val="0"/>
        <w:spacing w:before="200" w:line-rule="auto"/>
        <w:ind w:firstLine="540"/>
        <w:jc w:val="both"/>
      </w:pPr>
      <w:r>
        <w:rPr>
          <w:sz w:val="20"/>
        </w:rPr>
        <w:t xml:space="preserve">г) ветераны и инвалиды Великой Отечественной войны, ветераны и инвалиды боевых действий, а также реабилитированные жертвы политических репрессий;</w:t>
      </w:r>
    </w:p>
    <w:p>
      <w:pPr>
        <w:pStyle w:val="0"/>
        <w:spacing w:before="200" w:line-rule="auto"/>
        <w:ind w:firstLine="540"/>
        <w:jc w:val="both"/>
      </w:pPr>
      <w:r>
        <w:rPr>
          <w:sz w:val="20"/>
        </w:rPr>
        <w:t xml:space="preserve">д) физические лица, имеющие право на получение социальной поддержки в соответствии с </w:t>
      </w:r>
      <w:hyperlink w:history="0" r:id="rId10" w:tooltip="Закон РФ от 15.05.1991 N 1244-1 (ред. от 25.12.2023) &quot;О социальной защите граждан, подвергшихся воздействию радиации вследствие катастрофы на Чернобыльской АЭС&quot; {КонсультантПлюс}">
        <w:r>
          <w:rPr>
            <w:sz w:val="20"/>
            <w:color w:val="0000ff"/>
          </w:rPr>
          <w:t xml:space="preserve">Законом</w:t>
        </w:r>
      </w:hyperlink>
      <w:r>
        <w:rPr>
          <w:sz w:val="20"/>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в соответствии с Федеральным </w:t>
      </w:r>
      <w:hyperlink w:history="0" r:id="rId11" w:tooltip="Федеральный закон от 26.11.1998 N 175-ФЗ (ред. от 10.07.2023) &quot;О социальной защите граждан Российской Федерации, подвергшихся воздействию радиации вследствие аварии в 1957 году на производственном объединении &quot;Маяк&quot; и сбросов радиоактивных отходов в реку Теча&quot; (с изм. и доп., вступ. в силу с 01.07.2024) {КонсультантПлюс}">
        <w:r>
          <w:rPr>
            <w:sz w:val="20"/>
            <w:color w:val="0000ff"/>
          </w:rPr>
          <w:t xml:space="preserve">законом</w:t>
        </w:r>
      </w:hyperlink>
      <w:r>
        <w:rPr>
          <w:sz w:val="20"/>
        </w:rPr>
        <w:t xml:space="preserve">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w:t>
      </w:r>
      <w:hyperlink w:history="0" r:id="rId12" w:tooltip="Федеральный закон от 10.01.2002 N 2-ФЗ (ред. от 10.07.2023) &quot;О социальных гарантиях гражданам, подвергшимся радиационному воздействию вследствие ядерных испытаний на Семипалатинском полигоне&quot; (с изм. и доп., вступ. в силу с 01.07.2024) {КонсультантПлюс}">
        <w:r>
          <w:rPr>
            <w:sz w:val="20"/>
            <w:color w:val="0000ff"/>
          </w:rPr>
          <w:t xml:space="preserve">законом</w:t>
        </w:r>
      </w:hyperlink>
      <w:r>
        <w:rPr>
          <w:sz w:val="20"/>
        </w:rP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w:t>
      </w:r>
    </w:p>
    <w:p>
      <w:pPr>
        <w:pStyle w:val="0"/>
        <w:spacing w:before="200" w:line-rule="auto"/>
        <w:ind w:firstLine="540"/>
        <w:jc w:val="both"/>
      </w:pPr>
      <w:r>
        <w:rPr>
          <w:sz w:val="20"/>
        </w:rPr>
        <w:t xml:space="preserve">е) физические лица, принимавшие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pPr>
        <w:pStyle w:val="0"/>
        <w:spacing w:before="200" w:line-rule="auto"/>
        <w:ind w:firstLine="540"/>
        <w:jc w:val="both"/>
      </w:pPr>
      <w:r>
        <w:rPr>
          <w:sz w:val="20"/>
        </w:rPr>
        <w:t xml:space="preserve">ж) физические лица, получившие или перенесшие лучевую болезнь или ставшие инвалидами в результате испытаний, учений и иных работ, связанных с любыми видами ядерных установок, включая ядерное оружие и космическую технику.</w:t>
      </w:r>
    </w:p>
    <w:p>
      <w:pPr>
        <w:pStyle w:val="0"/>
        <w:spacing w:before="200" w:line-rule="auto"/>
        <w:ind w:firstLine="540"/>
        <w:jc w:val="both"/>
      </w:pPr>
      <w:r>
        <w:rPr>
          <w:sz w:val="20"/>
        </w:rPr>
        <w:t xml:space="preserve">2.4.1. От уплаты 25% подлежащей уплате налогоплательщиком суммы земельного налога, исчисленной в соответствии с </w:t>
      </w:r>
      <w:hyperlink w:history="0" r:id="rId13" w:tooltip="&quot;Налоговый кодекс Российской Федерации (часть вторая)&quot; от 05.08.2000 N 117-ФЗ (ред. от 28.12.2024, с изм. от 21.01.2025) {КонсультантПлюс}">
        <w:r>
          <w:rPr>
            <w:sz w:val="20"/>
            <w:color w:val="0000ff"/>
          </w:rPr>
          <w:t xml:space="preserve">главой 31</w:t>
        </w:r>
      </w:hyperlink>
      <w:r>
        <w:rPr>
          <w:sz w:val="20"/>
        </w:rPr>
        <w:t xml:space="preserve"> Налогового кодекса Российской Федерации, в отношении земельного участка, предназначенного для индивидуального жилищного строительства или ведения личного подсобного хозяйства, на котором расположен жилой дом, право собственности на который зарегистрировано в установленном порядке, освобождаются следующие категории налогоплательщиков:</w:t>
      </w:r>
    </w:p>
    <w:p>
      <w:pPr>
        <w:pStyle w:val="0"/>
        <w:spacing w:before="200" w:line-rule="auto"/>
        <w:ind w:firstLine="540"/>
        <w:jc w:val="both"/>
      </w:pPr>
      <w:r>
        <w:rPr>
          <w:sz w:val="20"/>
        </w:rPr>
        <w:t xml:space="preserve">а) пенсионеры, получающие пенсии, назначаемые в порядке, установленном пенсионным законодательством, а также лица, достигшие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w:t>
      </w:r>
    </w:p>
    <w:p>
      <w:pPr>
        <w:pStyle w:val="0"/>
        <w:spacing w:before="200" w:line-rule="auto"/>
        <w:ind w:firstLine="540"/>
        <w:jc w:val="both"/>
      </w:pPr>
      <w:r>
        <w:rPr>
          <w:sz w:val="20"/>
        </w:rPr>
        <w:t xml:space="preserve">б) военнослужащие, а также граждане, уволенные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w:t>
      </w:r>
    </w:p>
    <w:p>
      <w:pPr>
        <w:pStyle w:val="0"/>
        <w:spacing w:before="200" w:line-rule="auto"/>
        <w:ind w:firstLine="540"/>
        <w:jc w:val="both"/>
      </w:pPr>
      <w:r>
        <w:rPr>
          <w:sz w:val="20"/>
        </w:rPr>
        <w:t xml:space="preserve">в) граждане, уволенные с военной службы или призывавшиеся на военные сборы, выполнявшие интернациональный долг в Афганистане и других странах, в которых велись боевые действия;</w:t>
      </w:r>
    </w:p>
    <w:p>
      <w:pPr>
        <w:pStyle w:val="0"/>
        <w:spacing w:before="200" w:line-rule="auto"/>
        <w:ind w:firstLine="540"/>
        <w:jc w:val="both"/>
      </w:pPr>
      <w:r>
        <w:rPr>
          <w:sz w:val="20"/>
        </w:rPr>
        <w:t xml:space="preserve">г) члены семей военнослужащих, потерявших кормильца, признаваемые таковыми в соответствии с Федеральным </w:t>
      </w:r>
      <w:hyperlink w:history="0" r:id="rId14" w:tooltip="Федеральный закон от 27.05.1998 N 76-ФЗ (ред. от 28.12.2024) &quot;О статусе военнослужащих&quot; {КонсультантПлюс}">
        <w:r>
          <w:rPr>
            <w:sz w:val="20"/>
            <w:color w:val="0000ff"/>
          </w:rPr>
          <w:t xml:space="preserve">законом</w:t>
        </w:r>
      </w:hyperlink>
      <w:r>
        <w:rPr>
          <w:sz w:val="20"/>
        </w:rPr>
        <w:t xml:space="preserve"> от 27 мая 1998 года N 76-ФЗ "О статусе военнослужащих";</w:t>
      </w:r>
    </w:p>
    <w:p>
      <w:pPr>
        <w:pStyle w:val="0"/>
        <w:spacing w:before="200" w:line-rule="auto"/>
        <w:ind w:firstLine="540"/>
        <w:jc w:val="both"/>
      </w:pPr>
      <w:r>
        <w:rPr>
          <w:sz w:val="20"/>
        </w:rPr>
        <w:t xml:space="preserve">д) родители и супруги военнослужащих и государственных служащих, погибших при исполнении служебных обязанностей;</w:t>
      </w:r>
    </w:p>
    <w:p>
      <w:pPr>
        <w:pStyle w:val="0"/>
        <w:spacing w:before="200" w:line-rule="auto"/>
        <w:ind w:firstLine="540"/>
        <w:jc w:val="both"/>
      </w:pPr>
      <w:r>
        <w:rPr>
          <w:sz w:val="20"/>
        </w:rPr>
        <w:t xml:space="preserve">е) физические лица, соответствующие условиям, необходимым для назначения пенсии в соответствии с законодательством Российской Федерации, действовавшим на 31 декабря 2018 года.</w:t>
      </w:r>
    </w:p>
    <w:p>
      <w:pPr>
        <w:pStyle w:val="0"/>
        <w:spacing w:before="200" w:line-rule="auto"/>
        <w:ind w:firstLine="540"/>
        <w:jc w:val="both"/>
      </w:pPr>
      <w:r>
        <w:rPr>
          <w:sz w:val="20"/>
        </w:rPr>
        <w:t xml:space="preserve">Налоговая льгота, предусмотренная настоящим пунктом решения, предоставляется в отношении одного объекта налогообложения по выбору налогоплательщика вне зависимости от количества оснований для применения налоговых льгот.</w:t>
      </w:r>
    </w:p>
    <w:p>
      <w:pPr>
        <w:pStyle w:val="0"/>
        <w:spacing w:before="200" w:line-rule="auto"/>
        <w:ind w:firstLine="540"/>
        <w:jc w:val="both"/>
      </w:pPr>
      <w:r>
        <w:rPr>
          <w:sz w:val="20"/>
        </w:rPr>
        <w:t xml:space="preserve">Налоговая льгота, предусмотренная настоящим пунктом решения, предоставляется в отношении объекта налогообложения, не используемого налогоплательщиком в предпринимательской деятельности.</w:t>
      </w:r>
    </w:p>
    <w:p>
      <w:pPr>
        <w:pStyle w:val="0"/>
        <w:spacing w:before="200" w:line-rule="auto"/>
        <w:ind w:firstLine="540"/>
        <w:jc w:val="both"/>
      </w:pPr>
      <w:r>
        <w:rPr>
          <w:sz w:val="20"/>
        </w:rPr>
        <w:t xml:space="preserve">Налогоплательщики - физические лица, имеющие право на налоговые льготы, представляет в налоговый орган по своему выбору заявление о предоставлении льготы, а также вправе представить документы, подтверждающие право налогоплательщика на налоговую льготу.</w:t>
      </w:r>
    </w:p>
    <w:p>
      <w:pPr>
        <w:pStyle w:val="0"/>
        <w:spacing w:before="200" w:line-rule="auto"/>
        <w:ind w:firstLine="540"/>
        <w:jc w:val="both"/>
      </w:pPr>
      <w:r>
        <w:rPr>
          <w:sz w:val="20"/>
        </w:rPr>
        <w:t xml:space="preserve">2.4.2. От уплаты 50% подлежащей уплате налогоплательщиком суммы земельного налога, исчисленной в соответствии с </w:t>
      </w:r>
      <w:hyperlink w:history="0" r:id="rId15" w:tooltip="&quot;Налоговый кодекс Российской Федерации (часть вторая)&quot; от 05.08.2000 N 117-ФЗ (ред. от 28.12.2024, с изм. от 21.01.2025) {КонсультантПлюс}">
        <w:r>
          <w:rPr>
            <w:sz w:val="20"/>
            <w:color w:val="0000ff"/>
          </w:rPr>
          <w:t xml:space="preserve">главой 31</w:t>
        </w:r>
      </w:hyperlink>
      <w:r>
        <w:rPr>
          <w:sz w:val="20"/>
        </w:rPr>
        <w:t xml:space="preserve"> Налогового кодекса Российской Федерации, освобождаются хозяйствующие субъекты, реализующие инвестиционные проекты по строительству, реконструкции или эксплуатации автомобильных газонаполнительных компрессорных станций, криогенных автомобильных заправочных станций сжиженного природного газа, метановых автозаправочных станций, на срок три года со дня начала реализации соответствующего инвестиционного проекта.</w:t>
      </w:r>
    </w:p>
    <w:p>
      <w:pPr>
        <w:pStyle w:val="0"/>
        <w:spacing w:before="200" w:line-rule="auto"/>
        <w:ind w:firstLine="540"/>
        <w:jc w:val="both"/>
      </w:pPr>
      <w:r>
        <w:rPr>
          <w:sz w:val="20"/>
        </w:rPr>
        <w:t xml:space="preserve">2.4.3. Освободить от уплаты земельного налога за налоговые периоды 2022 года, 2023 года, 2024 года физических лиц в отношении земельных участков, на которых расположены объекты недвижимого имущества, поврежденные (прекратившие свое существование в связи с гибелью или уничтожением) в результате обстрелов со стороны вооруженных формирований Украины и (или) террористических актов:</w:t>
      </w:r>
    </w:p>
    <w:p>
      <w:pPr>
        <w:pStyle w:val="0"/>
        <w:spacing w:before="200" w:line-rule="auto"/>
        <w:ind w:firstLine="540"/>
        <w:jc w:val="both"/>
      </w:pPr>
      <w:r>
        <w:rPr>
          <w:sz w:val="20"/>
        </w:rPr>
        <w:t xml:space="preserve">- приобретенных (предоставленных) для индивидуального жилищного строительства;</w:t>
      </w:r>
    </w:p>
    <w:p>
      <w:pPr>
        <w:pStyle w:val="0"/>
        <w:spacing w:before="200" w:line-rule="auto"/>
        <w:ind w:firstLine="540"/>
        <w:jc w:val="both"/>
      </w:pPr>
      <w:r>
        <w:rPr>
          <w:sz w:val="20"/>
        </w:rPr>
        <w:t xml:space="preserve">- приобретенных (предоставленных) для ведения личного подсобного хозяйства, садоводства или огородничества.</w:t>
      </w:r>
    </w:p>
    <w:p>
      <w:pPr>
        <w:pStyle w:val="0"/>
        <w:spacing w:before="200" w:line-rule="auto"/>
        <w:ind w:firstLine="540"/>
        <w:jc w:val="both"/>
      </w:pPr>
      <w:r>
        <w:rPr>
          <w:sz w:val="20"/>
        </w:rPr>
        <w:t xml:space="preserve">2.4.4. Предоставить налоговую льготу в виде освобождения от уплаты земельного налога за налоговые периоды 2022 и 2023, 2024 годов:</w:t>
      </w:r>
    </w:p>
    <w:p>
      <w:pPr>
        <w:pStyle w:val="0"/>
        <w:spacing w:before="200" w:line-rule="auto"/>
        <w:ind w:firstLine="540"/>
        <w:jc w:val="both"/>
      </w:pPr>
      <w:r>
        <w:rPr>
          <w:sz w:val="20"/>
        </w:rPr>
        <w:t xml:space="preserve">- налогоплательщикам в отношении земельных участков, на которых расположены объекты недвижимого имущества, использование которых налогоплательщиком невозможно в связи с использованием для нужд обороны и безопасности Российской Федерации, на период с даты прекращения использования до даты возобновления использования указанных объектов налогоплательщиком;</w:t>
      </w:r>
    </w:p>
    <w:p>
      <w:pPr>
        <w:pStyle w:val="0"/>
        <w:spacing w:before="200" w:line-rule="auto"/>
        <w:ind w:firstLine="540"/>
        <w:jc w:val="both"/>
      </w:pPr>
      <w:r>
        <w:rPr>
          <w:sz w:val="20"/>
        </w:rPr>
        <w:t xml:space="preserve">- налогоплательщикам в отношении земельных участков, на которых расположены объекты недвижимого имущества нежилого назначения,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совершением террористических актов: объекты налогообложения, включенные в перечень, определяемый в соответствии с </w:t>
      </w:r>
      <w:hyperlink w:history="0" r:id="rId16" w:tooltip="&quot;Налоговый кодекс Российской Федерации (часть вторая)&quot; от 05.08.2000 N 117-ФЗ (ред. от 28.12.2024, с изм. от 21.01.2025) {КонсультантПлюс}">
        <w:r>
          <w:rPr>
            <w:sz w:val="20"/>
            <w:color w:val="0000ff"/>
          </w:rPr>
          <w:t xml:space="preserve">пунктом 7 статьи 378.2</w:t>
        </w:r>
      </w:hyperlink>
      <w:r>
        <w:rPr>
          <w:sz w:val="20"/>
        </w:rPr>
        <w:t xml:space="preserve"> Налогового кодекса Российской Федерации; объекты налогообложения, предусмотренные </w:t>
      </w:r>
      <w:hyperlink w:history="0" r:id="rId17" w:tooltip="&quot;Налоговый кодекс Российской Федерации (часть вторая)&quot; от 05.08.2000 N 117-ФЗ (ред. от 28.12.2024, с изм. от 21.01.2025) {КонсультантПлюс}">
        <w:r>
          <w:rPr>
            <w:sz w:val="20"/>
            <w:color w:val="0000ff"/>
          </w:rPr>
          <w:t xml:space="preserve">абзацем вторым пункта 10 статьи 378.2</w:t>
        </w:r>
      </w:hyperlink>
      <w:r>
        <w:rPr>
          <w:sz w:val="20"/>
        </w:rPr>
        <w:t xml:space="preserve"> Налогового кодекса Российской Федерации; объекты налогообложения, кадастровая стоимость каждого из которых превышает 300 миллионов рублей; прочие объекты недвижимости нежилого назначения - на период с даты прекращения использования до даты возобновления использования указанных объектов налогоплательщиком.</w:t>
      </w:r>
    </w:p>
    <w:p>
      <w:pPr>
        <w:pStyle w:val="0"/>
        <w:spacing w:before="200" w:line-rule="auto"/>
        <w:ind w:firstLine="540"/>
        <w:jc w:val="both"/>
      </w:pPr>
      <w:r>
        <w:rPr>
          <w:sz w:val="20"/>
        </w:rPr>
        <w:t xml:space="preserve">Перечень земельных участков, к которым применяется налоговая льгота, установленная пунктами 2.4.3 и 2.4.4 решения, с указанием периода ее применения, утверждается главой администрации муниципального округа и направляется в адрес Управления Федеральной налоговой службы по Белгородской области за налоговый период 2022 года - в течение 10 дней календарных дней с даты вступления в силу настоящего решения, за налоговый период 2023 года - не позднее 1 февраля 2024 года и за налоговый период 2024 года - не позднее 1 февраля 2025 года.</w:t>
      </w:r>
    </w:p>
    <w:p>
      <w:pPr>
        <w:pStyle w:val="0"/>
        <w:spacing w:before="200" w:line-rule="auto"/>
        <w:ind w:firstLine="540"/>
        <w:jc w:val="both"/>
      </w:pPr>
      <w:r>
        <w:rPr>
          <w:sz w:val="20"/>
        </w:rPr>
        <w:t xml:space="preserve">2.4.5. Предоставить налоговую льготу в виде уменьшения исчисленной суммы земельного налога на 75 процентов коммерческим организациям, к видам деятельности которых отнесено строительство жилых зданий, в собственности которых находятся земельные участки с видом разрешенного использования - для индивидуального жилищного строительства.</w:t>
      </w:r>
    </w:p>
    <w:p>
      <w:pPr>
        <w:pStyle w:val="0"/>
        <w:spacing w:before="200" w:line-rule="auto"/>
        <w:ind w:firstLine="540"/>
        <w:jc w:val="both"/>
      </w:pPr>
      <w:r>
        <w:rPr>
          <w:sz w:val="20"/>
        </w:rPr>
        <w:t xml:space="preserve">Положение данного пункта применяется в течение периода, превышающего три года с даты государственной регистрации прав на данные земельные участки, вплоть до даты государственной регистрации прав на построенный жилой дом.</w:t>
      </w:r>
    </w:p>
    <w:p>
      <w:pPr>
        <w:pStyle w:val="0"/>
        <w:ind w:firstLine="540"/>
        <w:jc w:val="both"/>
      </w:pPr>
      <w:r>
        <w:rPr>
          <w:sz w:val="20"/>
        </w:rPr>
      </w:r>
    </w:p>
    <w:p>
      <w:pPr>
        <w:pStyle w:val="0"/>
        <w:ind w:firstLine="540"/>
        <w:jc w:val="both"/>
      </w:pPr>
      <w:r>
        <w:rPr>
          <w:sz w:val="20"/>
        </w:rPr>
        <w:t xml:space="preserve">3. Признать утратившим силу </w:t>
      </w:r>
      <w:hyperlink w:history="0" r:id="rId18" w:tooltip="Решение Совета депутатов Грайворонского городского округа от 26.11.2018 N 47 (ред. от 24.04.2024) &quot;О земельном налоге на территории Грайворонского городского округа&quot; ------------ Утратил силу или отменен {КонсультантПлюс}">
        <w:r>
          <w:rPr>
            <w:sz w:val="20"/>
            <w:color w:val="0000ff"/>
          </w:rPr>
          <w:t xml:space="preserve">решение</w:t>
        </w:r>
      </w:hyperlink>
      <w:r>
        <w:rPr>
          <w:sz w:val="20"/>
        </w:rPr>
        <w:t xml:space="preserve"> Совета депутатов Грайворонского городского округа от 26 ноября 2018 года N 47 "О земельном налоге на территории Грайворонского городского округа" (в редакции от 26 сентября 2019 года </w:t>
      </w:r>
      <w:hyperlink w:history="0" r:id="rId19" w:tooltip="Решение Совета депутатов Грайворонского городского округа от 26.09.2019 N 236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 Утратил силу или отменен {КонсультантПлюс}">
        <w:r>
          <w:rPr>
            <w:sz w:val="20"/>
            <w:color w:val="0000ff"/>
          </w:rPr>
          <w:t xml:space="preserve">N 236</w:t>
        </w:r>
      </w:hyperlink>
      <w:r>
        <w:rPr>
          <w:sz w:val="20"/>
        </w:rPr>
        <w:t xml:space="preserve">, от 24 октября 2019 года </w:t>
      </w:r>
      <w:hyperlink w:history="0" r:id="rId20" w:tooltip="Решение Совета депутатов Грайворонского городского округа от 24.10.2019 N 246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в редакции от 26 сентября 2019 года N 236)&quot; ------------ Утратил силу или отменен {КонсультантПлюс}">
        <w:r>
          <w:rPr>
            <w:sz w:val="20"/>
            <w:color w:val="0000ff"/>
          </w:rPr>
          <w:t xml:space="preserve">N 246</w:t>
        </w:r>
      </w:hyperlink>
      <w:r>
        <w:rPr>
          <w:sz w:val="20"/>
        </w:rPr>
        <w:t xml:space="preserve">, от 26 декабря 2019 года </w:t>
      </w:r>
      <w:hyperlink w:history="0" r:id="rId21" w:tooltip="Решение Совета депутатов Грайворонского городского округа от 26.12.2019 N 268 &quot;О внесении изменений в решение Совета депутатов Грайворонского городского округа от 26.11.2018 N 47 &quot;О земельном налоге на территории Грайворонского городского округа&quot; ------------ Утратил силу или отменен {КонсультантПлюс}">
        <w:r>
          <w:rPr>
            <w:sz w:val="20"/>
            <w:color w:val="0000ff"/>
          </w:rPr>
          <w:t xml:space="preserve">N 268</w:t>
        </w:r>
      </w:hyperlink>
      <w:r>
        <w:rPr>
          <w:sz w:val="20"/>
        </w:rPr>
        <w:t xml:space="preserve">, от 26 марта 2020 года </w:t>
      </w:r>
      <w:hyperlink w:history="0" r:id="rId22" w:tooltip="Решение Совета депутатов Грайворонского городского округа от 26.03.2020 N 302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в редакции от 26 сентября 2019 года N 236, от 24 октября 2019 года N 246, от 26 декабря 2019 года N 268)&quot; ------------ Утратил силу или отменен {КонсультантПлюс}">
        <w:r>
          <w:rPr>
            <w:sz w:val="20"/>
            <w:color w:val="0000ff"/>
          </w:rPr>
          <w:t xml:space="preserve">N 302</w:t>
        </w:r>
      </w:hyperlink>
      <w:r>
        <w:rPr>
          <w:sz w:val="20"/>
        </w:rPr>
        <w:t xml:space="preserve">, от 27 апреля 2023 года </w:t>
      </w:r>
      <w:hyperlink w:history="0" r:id="rId23" w:tooltip="Решение Совета депутатов Грайворонского городского округа от 27.04.2023 N 619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в редакции от 26 сентября 2019 года N 236, от 24 октября 2019 года N 246, от 26 декабря 2019 года N 268, от 26 марта 2020 года N 302)&quot; ------------ Утратил силу или отменен {КонсультантПлюс}">
        <w:r>
          <w:rPr>
            <w:sz w:val="20"/>
            <w:color w:val="0000ff"/>
          </w:rPr>
          <w:t xml:space="preserve">N 619</w:t>
        </w:r>
      </w:hyperlink>
      <w:r>
        <w:rPr>
          <w:sz w:val="20"/>
        </w:rPr>
        <w:t xml:space="preserve">, от 6 июля 2023 </w:t>
      </w:r>
      <w:hyperlink w:history="0" r:id="rId24" w:tooltip="Решение Совета депутатов Грайворонского городского округа от 06.07.2023 N 649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в редакции от 26 сентября 2019 года N 236, от 24 октября 2019 года N 246, от 26 декабря 2019 года N 268, от 26 марта 2020 года N 302, от 27 апреля 2023 года N 619)&quot; ------------ Утратил силу или отменен {КонсультантПлюс}">
        <w:r>
          <w:rPr>
            <w:sz w:val="20"/>
            <w:color w:val="0000ff"/>
          </w:rPr>
          <w:t xml:space="preserve">N 649</w:t>
        </w:r>
      </w:hyperlink>
      <w:r>
        <w:rPr>
          <w:sz w:val="20"/>
        </w:rPr>
        <w:t xml:space="preserve"> года, от 24 апреля 2024 года </w:t>
      </w:r>
      <w:hyperlink w:history="0" r:id="rId25" w:tooltip="Решение Совета депутатов Грайворонского городского округа от 24.04.2024 N 72 &quot;О внесении изменений в решение Совета депутатов Грайворонского городского округа от 26 ноября 2018 года N 47 &quot;О земельном налоге на территории Грайворонского городского округа&quot; (в редакции от 26 сентября 2019 года N 236, от 24 октября 2019 года N 246, от 26 декабря 2019 года N 268, от 26 марта 2020 года N 302, от 27 апреля 2023 года N 619, от 6 июля 2023 года N 649)&quot; ------------ Утратил силу или отменен {КонсультантПлюс}">
        <w:r>
          <w:rPr>
            <w:sz w:val="20"/>
            <w:color w:val="0000ff"/>
          </w:rPr>
          <w:t xml:space="preserve">N 72</w:t>
        </w:r>
      </w:hyperlink>
      <w:r>
        <w:rPr>
          <w:sz w:val="20"/>
        </w:rPr>
        <w:t xml:space="preserve">).</w:t>
      </w:r>
    </w:p>
    <w:p>
      <w:pPr>
        <w:pStyle w:val="0"/>
        <w:ind w:firstLine="540"/>
        <w:jc w:val="both"/>
      </w:pPr>
      <w:r>
        <w:rPr>
          <w:sz w:val="20"/>
        </w:rPr>
      </w:r>
    </w:p>
    <w:p>
      <w:pPr>
        <w:pStyle w:val="0"/>
        <w:ind w:firstLine="540"/>
        <w:jc w:val="both"/>
      </w:pPr>
      <w:r>
        <w:rPr>
          <w:sz w:val="20"/>
        </w:rPr>
        <w:t xml:space="preserve">4. Опубликовать настоящее решение в газете "Родной край" или в сетевом издании "Родной край 31" (rodkray31.ru) и разместить на официальном сайте органов местного самоуправления Грайворонского муниципального округа (</w:t>
      </w:r>
      <w:r>
        <w:rPr>
          <w:sz w:val="20"/>
        </w:rPr>
        <w:t xml:space="preserve">grajvoron-r31.gosweb.gosuslugi.ru</w:t>
      </w:r>
      <w:r>
        <w:rPr>
          <w:sz w:val="20"/>
        </w:rPr>
        <w:t xml:space="preserve">).</w:t>
      </w:r>
    </w:p>
    <w:p>
      <w:pPr>
        <w:pStyle w:val="0"/>
        <w:ind w:firstLine="540"/>
        <w:jc w:val="both"/>
      </w:pPr>
      <w:r>
        <w:rPr>
          <w:sz w:val="20"/>
        </w:rPr>
      </w:r>
    </w:p>
    <w:p>
      <w:pPr>
        <w:pStyle w:val="0"/>
        <w:ind w:firstLine="540"/>
        <w:jc w:val="both"/>
      </w:pPr>
      <w:r>
        <w:rPr>
          <w:sz w:val="20"/>
        </w:rPr>
        <w:t xml:space="preserve">5. Контроль за выполнением данного решения возложить на постоянную комиссию Совета депутатов Грайворонского муниципального округа по бюджету, финансам, налогам и стратегическому развитию (Горбач В.Н.).</w:t>
      </w:r>
    </w:p>
    <w:p>
      <w:pPr>
        <w:pStyle w:val="0"/>
        <w:ind w:firstLine="540"/>
        <w:jc w:val="both"/>
      </w:pPr>
      <w:r>
        <w:rPr>
          <w:sz w:val="20"/>
        </w:rPr>
      </w:r>
    </w:p>
    <w:p>
      <w:pPr>
        <w:pStyle w:val="0"/>
        <w:ind w:firstLine="540"/>
        <w:jc w:val="both"/>
      </w:pPr>
      <w:r>
        <w:rPr>
          <w:sz w:val="20"/>
        </w:rPr>
        <w:t xml:space="preserve">6. Настоящее решение вступает в силу с 1 января 2025 года.</w:t>
      </w:r>
    </w:p>
    <w:p>
      <w:pPr>
        <w:pStyle w:val="0"/>
        <w:jc w:val="both"/>
      </w:pPr>
      <w:r>
        <w:rPr>
          <w:sz w:val="20"/>
        </w:rPr>
      </w:r>
    </w:p>
    <w:p>
      <w:pPr>
        <w:pStyle w:val="0"/>
        <w:jc w:val="right"/>
      </w:pPr>
      <w:r>
        <w:rPr>
          <w:sz w:val="20"/>
        </w:rPr>
        <w:t xml:space="preserve">Председатель Совета депутатов</w:t>
      </w:r>
    </w:p>
    <w:p>
      <w:pPr>
        <w:pStyle w:val="0"/>
        <w:jc w:val="right"/>
      </w:pPr>
      <w:r>
        <w:rPr>
          <w:sz w:val="20"/>
        </w:rPr>
        <w:t xml:space="preserve">Грайворонского муниципального округа</w:t>
      </w:r>
    </w:p>
    <w:p>
      <w:pPr>
        <w:pStyle w:val="0"/>
        <w:jc w:val="right"/>
      </w:pPr>
      <w:r>
        <w:rPr>
          <w:sz w:val="20"/>
        </w:rPr>
        <w:t xml:space="preserve">А.Ю.ПОПОВ</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2"/>
      <w:headerReference w:type="first" r:id="rId3"/>
      <w:footerReference w:type="default" r:id="rId5"/>
      <w:footerReference w:type="first" r:id="rId5"/>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Совета депутатов Грайворонского муниципального округа от 25.09.2024 N 108</w:t>
            <w:br/>
            <w:t>"О земельном налоге на территории Грай...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10.02.2025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drawing>
              <wp:inline distT="0" distB="0" distL="0" distR="0">
                <wp:extent cx="1910715" cy="445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1910715" cy="445770"/>
                        </a:xfrm>
                        <a:prstGeom prst="rect">
                          <a:avLst/>
                        </a:prstGeom>
                        <a:noFill/>
                        <a:ln>
                          <a:noFill/>
                        </a:ln>
                      </pic:spPr>
                    </pic:pic>
                  </a:graphicData>
                </a:graphic>
              </wp:inline>
            </w:drawing>
          </w:r>
          <w:r>
            <w:rPr>
              <w:rFonts w:ascii="Tahoma" w:hAnsi="Tahoma" w:cs="Tahoma"/>
              <w:sz w:val="18"/>
              <w:szCs w:val="18"/>
            </w:rPr>
            <w:br/>
          </w:r>
          <w:r>
            <w:rPr>
              <w:rFonts w:ascii="Tahoma" w:hAnsi="Tahoma" w:cs="Tahoma"/>
              <w:sz w:val="16"/>
              <w:szCs w:val="16"/>
            </w:rPr>
            <w:t>Решение Совета депутатов Грайворонского муниципального округа от 25.09.2024 N 108 "О земельном налоге на территории Грай...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10.02.2025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yperlink" Target="https://login.consultant.ru/link/?req=doc&amp;base=LAW&amp;n=494979&amp;dst=1346" TargetMode = "External"/>
	<Relationship Id="rId7" Type="http://schemas.openxmlformats.org/officeDocument/2006/relationships/hyperlink" Target="https://login.consultant.ru/link/?req=doc&amp;base=LAW&amp;n=480999&amp;dst=100117" TargetMode = "External"/>
	<Relationship Id="rId8" Type="http://schemas.openxmlformats.org/officeDocument/2006/relationships/hyperlink" Target="https://login.consultant.ru/link/?req=doc&amp;base=LAW&amp;n=494979&amp;dst=1356" TargetMode = "External"/>
	<Relationship Id="rId9" Type="http://schemas.openxmlformats.org/officeDocument/2006/relationships/hyperlink" Target="https://login.consultant.ru/link/?req=doc&amp;base=LAW&amp;n=481366" TargetMode = "External"/>
	<Relationship Id="rId10" Type="http://schemas.openxmlformats.org/officeDocument/2006/relationships/hyperlink" Target="https://login.consultant.ru/link/?req=doc&amp;base=LAW&amp;n=470690" TargetMode = "External"/>
	<Relationship Id="rId11" Type="http://schemas.openxmlformats.org/officeDocument/2006/relationships/hyperlink" Target="https://login.consultant.ru/link/?req=doc&amp;base=LAW&amp;n=466512" TargetMode = "External"/>
	<Relationship Id="rId12" Type="http://schemas.openxmlformats.org/officeDocument/2006/relationships/hyperlink" Target="https://login.consultant.ru/link/?req=doc&amp;base=LAW&amp;n=466514" TargetMode = "External"/>
	<Relationship Id="rId13" Type="http://schemas.openxmlformats.org/officeDocument/2006/relationships/hyperlink" Target="https://login.consultant.ru/link/?req=doc&amp;base=LAW&amp;n=494979&amp;dst=1345" TargetMode = "External"/>
	<Relationship Id="rId14" Type="http://schemas.openxmlformats.org/officeDocument/2006/relationships/hyperlink" Target="https://login.consultant.ru/link/?req=doc&amp;base=LAW&amp;n=495108" TargetMode = "External"/>
	<Relationship Id="rId15" Type="http://schemas.openxmlformats.org/officeDocument/2006/relationships/hyperlink" Target="https://login.consultant.ru/link/?req=doc&amp;base=LAW&amp;n=494979&amp;dst=1345" TargetMode = "External"/>
	<Relationship Id="rId16" Type="http://schemas.openxmlformats.org/officeDocument/2006/relationships/hyperlink" Target="https://login.consultant.ru/link/?req=doc&amp;base=LAW&amp;n=494979&amp;dst=9219" TargetMode = "External"/>
	<Relationship Id="rId17" Type="http://schemas.openxmlformats.org/officeDocument/2006/relationships/hyperlink" Target="https://login.consultant.ru/link/?req=doc&amp;base=LAW&amp;n=494979&amp;dst=13986" TargetMode = "External"/>
	<Relationship Id="rId18" Type="http://schemas.openxmlformats.org/officeDocument/2006/relationships/hyperlink" Target="https://login.consultant.ru/link/?req=doc&amp;base=RLAW404&amp;n=98463" TargetMode = "External"/>
	<Relationship Id="rId19" Type="http://schemas.openxmlformats.org/officeDocument/2006/relationships/hyperlink" Target="https://login.consultant.ru/link/?req=doc&amp;base=RLAW404&amp;n=69746" TargetMode = "External"/>
	<Relationship Id="rId20" Type="http://schemas.openxmlformats.org/officeDocument/2006/relationships/hyperlink" Target="https://login.consultant.ru/link/?req=doc&amp;base=RLAW404&amp;n=70424" TargetMode = "External"/>
	<Relationship Id="rId21" Type="http://schemas.openxmlformats.org/officeDocument/2006/relationships/hyperlink" Target="https://login.consultant.ru/link/?req=doc&amp;base=RLAW404&amp;n=71351" TargetMode = "External"/>
	<Relationship Id="rId22" Type="http://schemas.openxmlformats.org/officeDocument/2006/relationships/hyperlink" Target="https://login.consultant.ru/link/?req=doc&amp;base=RLAW404&amp;n=72437" TargetMode = "External"/>
	<Relationship Id="rId23" Type="http://schemas.openxmlformats.org/officeDocument/2006/relationships/hyperlink" Target="https://login.consultant.ru/link/?req=doc&amp;base=RLAW404&amp;n=93077" TargetMode = "External"/>
	<Relationship Id="rId24" Type="http://schemas.openxmlformats.org/officeDocument/2006/relationships/hyperlink" Target="https://login.consultant.ru/link/?req=doc&amp;base=RLAW404&amp;n=93516" TargetMode = "External"/>
	<Relationship Id="rId25" Type="http://schemas.openxmlformats.org/officeDocument/2006/relationships/hyperlink" Target="https://login.consultant.ru/link/?req=doc&amp;base=RLAW404&amp;n=98345"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 Id="rId2"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4023.00.53</Application>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депутатов Грайворонского муниципального округа от 25.09.2024 N 108
"О земельном налоге на территории Грайворонского муниципального округа Белгородской области"</dc:title>
  <dcterms:created xsi:type="dcterms:W3CDTF">2025-02-10T14:54:32Z</dcterms:created>
</cp:coreProperties>
</file>