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1.1. Орган-разработчик: 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инистерство природопользования Белгородской области (далее – министерство).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«Об утверждении Порядка согласования вероятного вреда в части правильности определе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акта: начало: «1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февраля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г.; окончание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февраля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Степень регулирующего воздействия проекта нормативного правового акта: Средняя.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Белгородской области вносятся изменения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огласования вероятного вреда в части правильности определ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наименование государственной услуги приводится в соответствие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с действующим законодательством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Чернобровенко Ирина Александровна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Должность: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заместитель начальника отдела водных ресурсов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департамента воспроизводства окружающей среды министерства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(4722) 24-76-9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chernobrovenko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bel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region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Отсутствие в действующем нормативно-правовом регулировании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в случае, если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области; не приведено в соответствии с действующим законодательством наименование государственной услуги</w:t>
      </w:r>
      <w:r>
        <w:rPr>
          <w:rFonts w:ascii="Times New Roman" w:hAnsi="Times New Roman" w:eastAsia="Calibri" w:cs="Times New Roman"/>
          <w:sz w:val="28"/>
          <w:szCs w:val="28"/>
        </w:rPr>
        <w:t xml:space="preserve">;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требуется актуализация предоставляемых заявителем документов, в том числе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полученных в рамках межведомственного информационного взаимодействия.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Проблема определена по результатам мониторинга нарушений, выявленных при рассмотрении министерством пакета документов при предоставлении государственной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2.3. Негативные эффекты, возникающие в связи с наличием рассматриваемой проблемы: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Заявитель представляет комплект документов в объеме, недостаточном для предоставления государственной услуги, отсутствует поряд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к согласования вероятного вреда.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в соответствующих сферах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Аналогичные нормативные акты приняты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Ставропольскоем крае, Свердловской области, Липецкой области: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постановление Правительства Ставропольского края 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3 сентября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№ 496-п «Об утверждении Порядка согласования вероятного вреда в части правильности определен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Ставропольского края»;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постановление Правительства Свердловской области от 27 июня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2024 года № 422-пп «Об утверждении Порядка согласования вероятного вреда в части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Свердловской области»;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постановление Правительства Липецкой области от 24 января 20</w:t>
      </w:r>
      <w:r>
        <w:rPr>
          <w:rFonts w:ascii="Times New Roman" w:hAnsi="Times New Roman" w:eastAsia="Calibri" w:cs="Times New Roman"/>
          <w:sz w:val="28"/>
          <w:szCs w:val="28"/>
        </w:rPr>
        <w:t xml:space="preserve">24 года № 44 «Об утверждении Порядка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Липецкой области в результате аварии гидротехнического сооружения».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Упорядочение правоотношений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безопасности гидротехнических сооружений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на территории Белгородской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Создание оптимальных условий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согласования вероятного вреда в части правильности определ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Необходимость обеспечения предполагаемой цели в связи с реализацией следующих нормативных актов: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Федеральны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закон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21 июля 1997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117</w:t>
      </w:r>
      <w:r>
        <w:rPr>
          <w:rFonts w:ascii="Times New Roman" w:hAnsi="Times New Roman" w:eastAsia="Calibri" w:cs="Times New Roman"/>
          <w:sz w:val="28"/>
          <w:szCs w:val="28"/>
        </w:rPr>
        <w:t xml:space="preserve">-ФЗ «О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безопасности гидротехнических сооружений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»,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приказ Федеральной службы по экологическому, технологическому и атомному надзору от 15 ноября 2024 года № 347 «Об утверждении Методики определения оцененного в рубл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3.3. Сроки достижения целей предлагаемого правового регулирования: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3.4.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Иная информация о целях предлагаемого правового регулирования: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Отсутствует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4.1. Описание предлагаемого способа решения проблемы и преодоление связанных с ней негативных эффектов: проектом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Белгородской области вносятся изменения в </w:t>
      </w:r>
      <w:bookmarkStart w:id="1" w:name="undefined"/>
      <w:r/>
      <w:bookmarkEnd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стандарт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порядка согласования вероятного вреда в части правильности определ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части: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уточняется перечень прилагаемых к запросу документов;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уточняется срок предоставления государственной услуги;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уточняется Методика вероятного вреда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которой определяется размер вероятного вреда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вводится документ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согласовании или об отказе в согласовании вероятного вреда, оформленное в виде приказа министерства природопользования Белгородской области.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уточняется перечень оснований для отказа в предоставлении государственной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 Альтернативные варианты решения проблемы: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Хозяйствующие субъекты за дополнительную плату могут обращаться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в специализированные организации с целью взаимодействия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с уполномоченным органом исполнительной власти (министерством природопользования Белгородской области) по вопросу оказания данной государственной услуги.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4.3. Обоснование выбора предлагаемого способа решения проблемы: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разработанном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согласования вероятного вреда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поэтапно изложен порядок согласования вероятного вреда, доступно указан перечень необходимых документов необходимых для предоставления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указана обновленная Методика проведения расчета вероятного вреда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которой определяется размер вероятного вреда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Простота и доступность подачи документов в соответствии с предлагаемым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позволит исключить дополнительные затраты хозяйствующих субъектов. Как показывает практика из-за специфики государственной услуги и сложности пони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мания предоставления необходимых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 исполнительной власти субъекта (министерст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 природопользования Белгородской области) документов, приводит к тому, что хозяйствующие субъекты вынуждены обращаться в специализированные организации. В связи с чем, предлагаемый способ решения проблем позволит исключить участие третьих лиц при оказани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услуги.</w:t>
      </w:r>
      <w:r/>
    </w:p>
    <w:p>
      <w:pPr>
        <w:pStyle w:val="85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сопровождению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согласовани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специализированной организацией вероятного вреда в министерстве природопользования Белгородской области (по данным проектной организации) составляет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тыс. рублей.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4.4.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1"/>
        <w:gridCol w:w="3856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Собственники гидротехнических сооружений или эксплуатирующие организации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192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4.5. Оценка изменений обязательных требований, обязанностей, ограничений и преимуществ, ответствен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ности за нарушение нормативных правовых актов Белгородской области,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4252"/>
        <w:gridCol w:w="2835"/>
      </w:tblGrid>
      <w:tr>
        <w:trPr>
          <w:trHeight w:val="1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0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Собственники гидротехнических сооружений или эксплуатирующие организации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ind w:right="57" w:hanging="28"/>
              <w:spacing w:after="0" w:line="228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Преимущество:</w:t>
            </w:r>
            <w:r/>
          </w:p>
          <w:p>
            <w:pPr>
              <w:ind w:right="57"/>
              <w:spacing w:after="0" w:line="22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 определен перечень документов для предоставления услуги;</w:t>
            </w:r>
            <w:r/>
          </w:p>
          <w:p>
            <w:pPr>
              <w:ind w:right="57"/>
              <w:spacing w:after="0" w:line="22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ind w:right="57"/>
              <w:spacing w:after="0" w:line="228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Обязанность:</w:t>
            </w:r>
            <w:r/>
          </w:p>
          <w:p>
            <w:pPr>
              <w:ind w:right="57"/>
              <w:spacing w:after="0" w:line="228" w:lineRule="auto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подготовка и предоставление документов, необходимых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для предоставления государственной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pacing w:val="-6"/>
                <w:sz w:val="28"/>
                <w:szCs w:val="28"/>
              </w:rPr>
              <w:t xml:space="preserve">Стоимость требования</w:t>
            </w:r>
            <w:r>
              <w:rPr>
                <w:rFonts w:ascii="Times New Roman" w:hAnsi="Times New Roman" w:eastAsia="Calibri" w:cs="Times New Roman"/>
                <w:iCs/>
                <w:spacing w:val="-6"/>
                <w:sz w:val="28"/>
                <w:szCs w:val="28"/>
              </w:rPr>
              <w:t xml:space="preserve"> по предоставлению 1 пакета документов: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250,4 тыс. руб.</w:t>
            </w:r>
            <w:r/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u w:val="none"/>
                <w:lang w:eastAsia="ru-RU"/>
              </w:rPr>
              <w:t xml:space="preserve">Общая стоимость требования: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u w:val="non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48076,8 тыс. руб.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природопользования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министерства будет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обязательные требования проектом нормативного правового акта не устанавливаются.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694"/>
        <w:gridCol w:w="35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  <w:trHeight w:val="4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Нео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сведомленность о внесении изменений в Порядок согласования вероятного вреда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tabs>
                <w:tab w:val="center" w:pos="1814" w:leader="none"/>
              </w:tabs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изкая</w:t>
            </w:r>
            <w:r/>
          </w:p>
          <w:p>
            <w:pPr>
              <w:jc w:val="both"/>
              <w:spacing w:after="0" w:line="240" w:lineRule="auto"/>
              <w:tabs>
                <w:tab w:val="center" w:pos="181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утвержденный Порядок будет размещен на сайте министерства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Контроль за размещением порядка на сайте министерства, консультирование заявителей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tbl>
      <w:tblPr>
        <w:tblW w:w="9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559"/>
        <w:gridCol w:w="2410"/>
        <w:gridCol w:w="1559"/>
        <w:gridCol w:w="156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Мероприятия, необходимые для достижения целей регулирования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Источники финансиро- 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сайте министерства информации о принятии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Правительства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  <w:t xml:space="preserve">Осведомленность о внесении изменений в 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  <w:t xml:space="preserve">Порядок согласования вероятного вреда</w:t>
            </w: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  <w:t xml:space="preserve">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(разъяснение по вопросам, связанным с устранением выявленных нарушений по результатам проверки документов и сведений)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6"/>
                <w:szCs w:val="26"/>
                <w:lang w:eastAsia="ru-RU"/>
              </w:rPr>
              <w:t xml:space="preserve">Осведомленность о порядке предоставления государственной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</w:pPr>
            <w:r/>
            <w:r/>
          </w:p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</w:pPr>
            <w:r/>
            <w:r/>
          </w:p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yellow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7. Ожидаемые измеримые результаты правового регулирования:*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9"/>
        <w:gridCol w:w="2284"/>
        <w:gridCol w:w="2240"/>
        <w:gridCol w:w="2496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поступивших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запросов и прилагаемых документов, оформленных в соответствии с Порядком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15 обращений</w:t>
            </w:r>
            <w:bookmarkStart w:id="2" w:name="_GoBack"/>
            <w:r/>
            <w:bookmarkEnd w:id="2"/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Анализ поступивших за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просов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Декабрь 202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6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квартал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3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8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5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47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48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49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52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5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5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8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8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9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Heading 2 Char"/>
    <w:basedOn w:val="667"/>
    <w:uiPriority w:val="9"/>
    <w:rPr>
      <w:rFonts w:ascii="Arial" w:hAnsi="Arial" w:eastAsia="Arial" w:cs="Arial"/>
      <w:sz w:val="34"/>
    </w:rPr>
  </w:style>
  <w:style w:type="character" w:styleId="672" w:customStyle="1">
    <w:name w:val="Heading 3 Char"/>
    <w:basedOn w:val="667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Heading 4 Char"/>
    <w:basedOn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Heading 5 Char"/>
    <w:basedOn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7"/>
    <w:uiPriority w:val="10"/>
    <w:rPr>
      <w:sz w:val="48"/>
      <w:szCs w:val="48"/>
    </w:rPr>
  </w:style>
  <w:style w:type="character" w:styleId="680" w:customStyle="1">
    <w:name w:val="Subtitle Char"/>
    <w:basedOn w:val="667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7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57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Title"/>
    <w:basedOn w:val="657"/>
    <w:next w:val="657"/>
    <w:link w:val="699"/>
    <w:uiPriority w:val="10"/>
    <w:qFormat/>
    <w:pPr>
      <w:contextualSpacing/>
      <w:spacing w:before="300"/>
    </w:pPr>
    <w:rPr>
      <w:sz w:val="48"/>
      <w:szCs w:val="48"/>
    </w:rPr>
  </w:style>
  <w:style w:type="character" w:styleId="699" w:customStyle="1">
    <w:name w:val="Заголовок Знак"/>
    <w:basedOn w:val="667"/>
    <w:link w:val="698"/>
    <w:uiPriority w:val="10"/>
    <w:rPr>
      <w:sz w:val="48"/>
      <w:szCs w:val="48"/>
    </w:rPr>
  </w:style>
  <w:style w:type="paragraph" w:styleId="700">
    <w:name w:val="Subtitle"/>
    <w:basedOn w:val="657"/>
    <w:next w:val="657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67"/>
    <w:link w:val="700"/>
    <w:uiPriority w:val="11"/>
    <w:rPr>
      <w:sz w:val="24"/>
      <w:szCs w:val="24"/>
    </w:rPr>
  </w:style>
  <w:style w:type="paragraph" w:styleId="702">
    <w:name w:val="Quote"/>
    <w:basedOn w:val="657"/>
    <w:next w:val="65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57"/>
    <w:next w:val="65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57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67"/>
    <w:link w:val="706"/>
    <w:uiPriority w:val="99"/>
  </w:style>
  <w:style w:type="paragraph" w:styleId="708">
    <w:name w:val="Footer"/>
    <w:basedOn w:val="657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67"/>
    <w:uiPriority w:val="99"/>
  </w:style>
  <w:style w:type="paragraph" w:styleId="710">
    <w:name w:val="Caption"/>
    <w:basedOn w:val="657"/>
    <w:next w:val="65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 w:customStyle="1">
    <w:name w:val="Таблица простая 1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21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Таблица простая 3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Таблица простая 4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Таблица простая 5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Таблица-сетка 1 светл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Таблица-сетка 2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Таблица-сетка 3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4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Таблица-сетка 5 темн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Таблица-сетка 6 цветн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Таблица-сетка 7 цветн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Список-таблица 1 светлая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2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Список-таблица 3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Список-таблица 4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5 темн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Список-таблица 6 цветн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Список-таблица 7 цветная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5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67"/>
    <w:uiPriority w:val="99"/>
    <w:unhideWhenUsed/>
    <w:rPr>
      <w:vertAlign w:val="superscript"/>
    </w:rPr>
  </w:style>
  <w:style w:type="paragraph" w:styleId="842">
    <w:name w:val="endnote text"/>
    <w:basedOn w:val="65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67"/>
    <w:uiPriority w:val="99"/>
    <w:semiHidden/>
    <w:unhideWhenUsed/>
    <w:rPr>
      <w:vertAlign w:val="superscript"/>
    </w:rPr>
  </w:style>
  <w:style w:type="paragraph" w:styleId="845">
    <w:name w:val="toc 1"/>
    <w:basedOn w:val="657"/>
    <w:next w:val="657"/>
    <w:uiPriority w:val="39"/>
    <w:unhideWhenUsed/>
    <w:pPr>
      <w:spacing w:after="57"/>
    </w:pPr>
  </w:style>
  <w:style w:type="paragraph" w:styleId="846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47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48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49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50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51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52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53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57"/>
    <w:next w:val="657"/>
    <w:uiPriority w:val="99"/>
    <w:unhideWhenUsed/>
    <w:pPr>
      <w:spacing w:after="0"/>
    </w:pPr>
  </w:style>
  <w:style w:type="paragraph" w:styleId="856" w:customStyle="1">
    <w:name w:val="ConsPlusNormal"/>
    <w:link w:val="868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 w:customStyle="1">
    <w:name w:val="Знак"/>
    <w:basedOn w:val="65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5">
    <w:name w:val="Balloon Text"/>
    <w:basedOn w:val="657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67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 w:customStyle="1">
    <w:name w:val="Знак1"/>
    <w:basedOn w:val="65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68" w:customStyle="1">
    <w:name w:val="ConsPlusNormal Знак"/>
    <w:link w:val="856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4D53-8077-4B53-8791-85E5F345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Сорочинская И. Л.</dc:creator>
  <cp:keywords/>
  <dc:description/>
  <cp:revision>3</cp:revision>
  <dcterms:created xsi:type="dcterms:W3CDTF">2024-05-08T08:41:00Z</dcterms:created>
  <dcterms:modified xsi:type="dcterms:W3CDTF">2025-02-12T12:09:54Z</dcterms:modified>
</cp:coreProperties>
</file>