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расчет издержек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государственной поддержки:</w:t>
      </w:r>
      <w:r/>
    </w:p>
    <w:p>
      <w:pPr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Субсидии </w:t>
      </w:r>
      <w:r>
        <w:rPr>
          <w:rFonts w:ascii="Times New Roman" w:hAnsi="Times New Roman"/>
          <w:sz w:val="24"/>
          <w:szCs w:val="24"/>
        </w:rPr>
        <w:t xml:space="preserve">на реализацию мероприятий по содействию повышению кадровой обеспеченности предприятий агропромышленного комплекса</w:t>
      </w:r>
      <w:r/>
    </w:p>
    <w:p>
      <w:pPr>
        <w:jc w:val="both"/>
        <w:spacing w:after="0" w:line="240" w:lineRule="auto"/>
        <w:rPr>
          <w:rFonts w:ascii="Times New Roman" w:hAnsi="Times New Roman" w:eastAsia="SimSun"/>
          <w:b/>
          <w:sz w:val="24"/>
          <w:szCs w:val="24"/>
        </w:rPr>
      </w:pPr>
      <w:r>
        <w:rPr>
          <w:rFonts w:ascii="Times New Roman" w:hAnsi="Times New Roman" w:eastAsia="SimSun"/>
          <w:b/>
          <w:sz w:val="24"/>
          <w:szCs w:val="24"/>
        </w:rPr>
        <w:t xml:space="preserve">Максимальный размер предоставляемой субсидии: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до 90 процентов фактически понесенных в году предоставления субсидии и (или) в году, предшествующем году предоставления субсидии, затрат</w:t>
      </w:r>
      <w:r>
        <w:rPr>
          <w:rFonts w:ascii="Times New Roman" w:hAnsi="Times New Roman" w:eastAsia="SimSu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заключенным ученическим договорам и договорам о целевом обучени</w:t>
      </w:r>
      <w:r>
        <w:rPr>
          <w:rFonts w:ascii="Times New Roman" w:hAnsi="Times New Roman"/>
          <w:sz w:val="24"/>
          <w:szCs w:val="24"/>
          <w:lang w:eastAsia="ru-RU"/>
        </w:rPr>
        <w:t xml:space="preserve">и с обучающимися в образовательных организациях Министерства сельского хозяйства Российской Федерации, и (или) затрат, связанных с оплатой труда и проживанием обучающихся в образовательных организациях Министерства сельского хозяйства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до 90 процентов фактически понесенных затрат на выплаты стимулирующего характера специалистам по заключенным контрактам с агровузами и (или) профильными научными учреждениями;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до 95 процентов фактически понесенных затрат на выплаты стимулирующего характера учителям;</w:t>
      </w:r>
      <w:r/>
    </w:p>
    <w:p>
      <w:pPr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 - </w:t>
      </w:r>
      <w:r>
        <w:rPr>
          <w:rFonts w:ascii="Times New Roman" w:hAnsi="Times New Roman" w:eastAsia="SimSun"/>
          <w:sz w:val="24"/>
          <w:szCs w:val="24"/>
        </w:rPr>
        <w:t xml:space="preserve">до 90 процентов прямых затрат на реконструкцию, капитальный ремонт, модернизацию и (или) оснащение оборудованием объектов среднего профессионального образования;</w:t>
      </w:r>
      <w:r/>
    </w:p>
    <w:p>
      <w:pPr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 - </w:t>
      </w:r>
      <w:r>
        <w:rPr>
          <w:rFonts w:ascii="Times New Roman" w:hAnsi="Times New Roman" w:eastAsia="SimSun"/>
          <w:sz w:val="24"/>
          <w:szCs w:val="24"/>
        </w:rPr>
        <w:t xml:space="preserve">до 90 процентов прямых затрат на капитальный ремонт и (или) оснащение оборудованием школ с агротехнологическими  классами</w:t>
      </w:r>
      <w:r>
        <w:rPr>
          <w:rFonts w:ascii="Times New Roman" w:hAnsi="Times New Roman" w:eastAsia="SimSun"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 - </w:t>
      </w:r>
      <w:r>
        <w:rPr>
          <w:rFonts w:ascii="Times New Roman" w:hAnsi="Times New Roman" w:eastAsia="SimSun"/>
          <w:sz w:val="24"/>
          <w:szCs w:val="24"/>
        </w:rPr>
        <w:t xml:space="preserve">возмещение до 90 процентов фактически понесенных затрат юридическим лица</w:t>
      </w:r>
      <w:r>
        <w:rPr>
          <w:rFonts w:ascii="Times New Roman" w:hAnsi="Times New Roman" w:eastAsia="SimSun"/>
          <w:sz w:val="24"/>
          <w:szCs w:val="24"/>
        </w:rPr>
        <w:t xml:space="preserve">м(за исключением инвестиционных фондов, в том числе их управляющих компаний) и индивидуальным предпринимателям на строительство (приобретение) жилья, предоставляемого специалистам агровузов (профильных научных учреждений) по договору найма жилого помещения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представление документов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bookmarkStart w:id="0" w:name="_Hlk187747236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Практика, обучение - 40 ед.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Выплаты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стимулирующего характера учителям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16 ед.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ыплаты стимулирующего характера специалистам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10 ед.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атраты на создание агротехнологического класса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16 ед.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атраты на объекты среднего профессионального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2 ед.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атраты на строительство жилья, по договору найма жилого помещения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4 ед.</w:t>
      </w:r>
      <w:bookmarkEnd w:id="0"/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 документов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бщие – 2 чел./час.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справка-расчет для предоставления субсидии </w:t>
      </w:r>
      <w:bookmarkStart w:id="1" w:name="_Hlk187419549"/>
      <w:r>
        <w:rPr>
          <w:rFonts w:ascii="Times New Roman" w:hAnsi="Times New Roman"/>
          <w:sz w:val="24"/>
          <w:szCs w:val="24"/>
          <w:lang w:eastAsia="ru-RU"/>
        </w:rPr>
        <w:t xml:space="preserve">по форме согласно приложению № 1 к Порядку – 0,25 чел./час;</w:t>
      </w:r>
      <w:bookmarkEnd w:id="1"/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р</w:t>
      </w:r>
      <w:r>
        <w:rPr>
          <w:rFonts w:ascii="Times New Roman" w:hAnsi="Times New Roman"/>
          <w:sz w:val="24"/>
          <w:szCs w:val="24"/>
          <w:lang w:eastAsia="ru-RU"/>
        </w:rPr>
        <w:t xml:space="preserve">еестр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произведенных затрат на возмещение части затрат на содействие повышению кадровой обеспеченности предприятий агропромышленного комплекса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форме согласно приложению №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 к Порядку – 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выписку из Единого государственного реестра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юридических лиц (ЕГРЮЛ) или Единого государственного реестра индивидуальных предпринимателей (Е</w:t>
      </w:r>
      <w:r>
        <w:rPr>
          <w:rFonts w:ascii="Times New Roman" w:hAnsi="Times New Roman"/>
          <w:sz w:val="24"/>
          <w:szCs w:val="24"/>
          <w:lang w:eastAsia="ru-RU"/>
        </w:rPr>
        <w:t xml:space="preserve">ГРИП) в соответствии с требованиями Порядка – 0,5 чел./час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справку с единого налогового счета об отсутствии или не превышение размера, определенного пунктом 3 статьи 47 Налогового кодекса Российской Федерации, задолженности по уплате налогов, сборов и с</w:t>
      </w:r>
      <w:r>
        <w:rPr>
          <w:rFonts w:ascii="Times New Roman" w:hAnsi="Times New Roman"/>
          <w:sz w:val="24"/>
          <w:szCs w:val="24"/>
        </w:rPr>
        <w:t xml:space="preserve">траховых взносов в бюджеты бюджетной системы Российской Федерации – 0,5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соответствия дополнительным требованиям: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– 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не должен находиться в составляемых в рамках реализации полномочий, предусмотренных главой VII Устава ООН, Совето</w:t>
      </w:r>
      <w:r>
        <w:rPr>
          <w:rFonts w:ascii="Times New Roman" w:hAnsi="Times New Roman"/>
          <w:sz w:val="24"/>
          <w:szCs w:val="24"/>
        </w:rPr>
        <w:t xml:space="preserve">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– 0,25 чел./час.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Пр</w:t>
      </w:r>
      <w:r>
        <w:rPr>
          <w:rFonts w:ascii="Times New Roman" w:hAnsi="Times New Roman"/>
          <w:b/>
          <w:bCs/>
          <w:sz w:val="24"/>
          <w:szCs w:val="24"/>
        </w:rPr>
        <w:t xml:space="preserve">актика, обучение</w:t>
      </w:r>
      <w:r>
        <w:rPr>
          <w:rFonts w:ascii="Times New Roman" w:hAnsi="Times New Roman"/>
          <w:b/>
          <w:bCs/>
          <w:sz w:val="24"/>
          <w:szCs w:val="24"/>
        </w:rPr>
        <w:t xml:space="preserve"> – 7 чел./час 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копии ученических </w:t>
      </w:r>
      <w:r>
        <w:rPr>
          <w:rFonts w:ascii="Times New Roman" w:hAnsi="Times New Roman"/>
          <w:sz w:val="24"/>
          <w:szCs w:val="24"/>
        </w:rPr>
        <w:t xml:space="preserve">договоров или договоров о целевом обучении, заключенных с работниками, проходящими профессиональное обучение в федеральных государственных образовательных организациях высшего образования, среднего и дополнительного профессионального образования, находящих</w:t>
      </w:r>
      <w:r>
        <w:rPr>
          <w:rFonts w:ascii="Times New Roman" w:hAnsi="Times New Roman"/>
          <w:sz w:val="24"/>
          <w:szCs w:val="24"/>
        </w:rPr>
        <w:t xml:space="preserve">ся в ведении Министерства сельского хозяйства Российской Федерации, и обучающимися в иных образовательных организациях – 1,0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справки образовательных организаций, подтверждающие прохождение работниками обучения, копии трудовых книжек или иные до</w:t>
      </w:r>
      <w:r>
        <w:rPr>
          <w:rFonts w:ascii="Times New Roman" w:hAnsi="Times New Roman"/>
          <w:sz w:val="24"/>
          <w:szCs w:val="24"/>
        </w:rPr>
        <w:t xml:space="preserve">кументы, подтверждающие трудовую деятельность работника у заявителя – 1,25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согласие работника в письменной форме на передачу и обработку персональных данных в соответствии с Федеральным законом от 27 июля 2006 года № 152-ФЗ «О персональных данн</w:t>
      </w:r>
      <w:r>
        <w:rPr>
          <w:rFonts w:ascii="Times New Roman" w:hAnsi="Times New Roman"/>
          <w:sz w:val="24"/>
          <w:szCs w:val="24"/>
        </w:rPr>
        <w:t xml:space="preserve">ых» – 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копии договоров о прохождении производственной практики студентами, договоров на оплату труда, заключенных со студентами, обучающимися в федеральных государственных образовательных организациях высшего образования, среднего и дополни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тельного профессионального образования, находящихся в ведении Министерства сельского хозяйства Российской Федерации, и обучающимися в иных образовательных организациях, привлеченными для прохождения практики, в том числе производственной практики, и практи</w:t>
      </w:r>
      <w:r>
        <w:rPr>
          <w:rFonts w:ascii="Times New Roman" w:hAnsi="Times New Roman"/>
          <w:sz w:val="24"/>
          <w:szCs w:val="24"/>
          <w:lang w:eastAsia="ru-RU"/>
        </w:rPr>
        <w:t xml:space="preserve">ческой подготовки или осуществляющими трудовую деятельность не более 6 месяцев в году предоставления субсидии или в году, предшествующем году предоставления субсидии договоров на оплату проживания таких студентов – 1,25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согласие студента в пись</w:t>
      </w:r>
      <w:r>
        <w:rPr>
          <w:rFonts w:ascii="Times New Roman" w:hAnsi="Times New Roman"/>
          <w:sz w:val="24"/>
          <w:szCs w:val="24"/>
          <w:lang w:eastAsia="ru-RU"/>
        </w:rPr>
        <w:t xml:space="preserve">менной форме на передачу и обработку персональных данных в соответствии с Федеральным законом от 27 июля 2006 года № 152-ФЗ «О персональных данных» – 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документы, подтверждающие понесенные затраты по заключенным с работниками, проходящими об</w:t>
      </w:r>
      <w:r>
        <w:rPr>
          <w:rFonts w:ascii="Times New Roman" w:hAnsi="Times New Roman"/>
          <w:sz w:val="24"/>
          <w:szCs w:val="24"/>
          <w:lang w:eastAsia="ru-RU"/>
        </w:rPr>
        <w:t xml:space="preserve">учение в федеральных государственных образовательных организациях высшего образования, среднего и дополнительного профессионального образования, находящихся в ведении Министерства сельского хозяйства Российской Федерации, и обучающимися в иных образователь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ных организациях, ученическим договорам (копии договоров, платежных поручений, подтверждающих оплату обучения в образовательных организациях, заверенные получателем выписки из ведомостей на выдачу стипендии работникам в период ученичества либо копии платеж</w:t>
      </w:r>
      <w:r>
        <w:rPr>
          <w:rFonts w:ascii="Times New Roman" w:hAnsi="Times New Roman"/>
          <w:sz w:val="24"/>
          <w:szCs w:val="24"/>
          <w:lang w:eastAsia="ru-RU"/>
        </w:rPr>
        <w:t xml:space="preserve">ных поручений и заверенные получателем выписки из платежных ведомостей) и (или) затраты, связанные с оплатой труда и проживанием студентов, обучающихся в федеральных государственных образовательных организациях высшего образования, среднего и дополнительно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профессионального образования, находящихся в ведении Министерства сельского хозяйства Российской Федерации, и обучающихся в иных образовательных организациях, привлеченных для прохождения практики, в том числе производственной практики, и практической п</w:t>
      </w:r>
      <w:r>
        <w:rPr>
          <w:rFonts w:ascii="Times New Roman" w:hAnsi="Times New Roman"/>
          <w:sz w:val="24"/>
          <w:szCs w:val="24"/>
          <w:lang w:eastAsia="ru-RU"/>
        </w:rPr>
        <w:t xml:space="preserve">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 (копии платежных поручений по договорам на оплату труда, заверенные получателем выписки из ведомост</w:t>
      </w:r>
      <w:r>
        <w:rPr>
          <w:rFonts w:ascii="Times New Roman" w:hAnsi="Times New Roman"/>
          <w:sz w:val="24"/>
          <w:szCs w:val="24"/>
          <w:lang w:eastAsia="ru-RU"/>
        </w:rPr>
        <w:t xml:space="preserve">ей на выдачу заработной платы либо копии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платежных поручений и заверенные получателем выписки из платежных ведомостей, копии договоров, платежных поручений, подтверждающих оплату проживания студентов, и иных первичных документов, подтверждающих фактически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понесенные затраты) - 3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bookmarkStart w:id="2" w:name="_Hlk187746954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выплаты стимулирующего характера учителям</w:t>
      </w:r>
      <w:bookmarkEnd w:id="2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3,75 чел./час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:</w:t>
      </w:r>
      <w:r>
        <w:rPr>
          <w:b/>
          <w:bCs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соглашение о сотрудничестве с общеобразовательной организацией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 - </w:t>
      </w:r>
      <w:r>
        <w:rPr>
          <w:rFonts w:ascii="Times New Roman" w:hAnsi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/>
          <w:sz w:val="24"/>
          <w:szCs w:val="24"/>
          <w:lang w:eastAsia="ru-RU"/>
        </w:rPr>
        <w:t xml:space="preserve">,5</w:t>
      </w:r>
      <w:r>
        <w:rPr>
          <w:rFonts w:ascii="Times New Roman" w:hAnsi="Times New Roman"/>
          <w:sz w:val="24"/>
          <w:szCs w:val="24"/>
          <w:lang w:eastAsia="ru-RU"/>
        </w:rPr>
        <w:t xml:space="preserve">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списки педагогов предпрофильных и профильных классов, утвержденные директором общеобразовательной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- 1 </w:t>
      </w:r>
      <w:bookmarkStart w:id="3" w:name="_Hlk187742617"/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bookmarkEnd w:id="3"/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подписанные усиленной квалифицированной электронной подписью кредитной организации платежные поручения, подтверждающие перечисление средств общеобразовательной организации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 - 0,25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справка общеобразовательной организации о фактически отработанном учителем времени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bookmarkStart w:id="4" w:name="_Hlk187742760"/>
      <w:r>
        <w:rPr>
          <w:rFonts w:ascii="Times New Roman" w:hAnsi="Times New Roman"/>
          <w:sz w:val="24"/>
          <w:szCs w:val="24"/>
          <w:lang w:eastAsia="ru-RU"/>
        </w:rPr>
        <w:t xml:space="preserve">0,5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bookmarkEnd w:id="4"/>
      <w:r/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копии договоров, платежных поручений, выписки из платежных ведомостей и иные первичные документы, подтверждающие фактически понесенные затраты</w:t>
      </w:r>
      <w:r>
        <w:rPr>
          <w:rFonts w:ascii="Times New Roman" w:hAnsi="Times New Roman"/>
          <w:sz w:val="24"/>
          <w:szCs w:val="24"/>
          <w:lang w:eastAsia="ru-RU"/>
        </w:rPr>
        <w:t xml:space="preserve"> - 1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согласие учителя в письменной форме на передачу и обработку персональных данных в соответствии с Федеральным законом от 27 июля 2006 года № 152-ФЗ «О персональных данных»</w:t>
      </w:r>
      <w:r>
        <w:rPr>
          <w:rFonts w:ascii="Times New Roman" w:hAnsi="Times New Roman"/>
          <w:sz w:val="24"/>
          <w:szCs w:val="24"/>
          <w:lang w:eastAsia="ru-RU"/>
        </w:rPr>
        <w:t xml:space="preserve"> -0,5 чел./час; 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выплаты стимулирующего характера специалистам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3,25 чел./час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</w:t>
      </w:r>
      <w:r>
        <w:rPr>
          <w:b/>
          <w:bCs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договор (контракт) на реализацию ключевого проекта в сфере агропромышленного комплекса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список специалистов – участников ключевых проектов, отобранный комиссией по отбору проектов, с указанием размера выплат</w:t>
      </w:r>
      <w:r>
        <w:rPr>
          <w:rFonts w:ascii="Times New Roman" w:hAnsi="Times New Roman"/>
          <w:sz w:val="24"/>
          <w:szCs w:val="24"/>
          <w:lang w:eastAsia="ru-RU"/>
        </w:rPr>
        <w:t xml:space="preserve"> - 1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копии договоров, платежных поручений, выписки из платежных ведомостей и иные первичные документы, подтверждающие фактически понесенные затраты</w:t>
      </w:r>
      <w:r>
        <w:rPr>
          <w:rFonts w:ascii="Times New Roman" w:hAnsi="Times New Roman"/>
          <w:sz w:val="24"/>
          <w:szCs w:val="24"/>
          <w:lang w:eastAsia="ru-RU"/>
        </w:rPr>
        <w:t xml:space="preserve"> - 1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 согласие специалиста в письменной форме на передачу и обработку персональных данных в соответствии с Федеральным законом от 27 июля 2006 года № 152-ФЗ «О персональных данных»</w:t>
      </w:r>
      <w:r>
        <w:rPr>
          <w:rFonts w:ascii="Times New Roman" w:hAnsi="Times New Roman"/>
          <w:sz w:val="24"/>
          <w:szCs w:val="24"/>
          <w:lang w:eastAsia="ru-RU"/>
        </w:rPr>
        <w:t xml:space="preserve"> -0,25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создание агротехнологического класса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6 чел./час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</w:t>
      </w:r>
      <w:r>
        <w:rPr>
          <w:b/>
          <w:bCs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соглашение о сотрудничестве с общеобразовательной организацией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заверенная участником отбора сметная документация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заключение о проверке достоверности определения сметной стоимости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заверенные участником отбора контракты, договоры об оказании услуг (выполнении работ)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акты о приемке выполненных работ или акты о приемке выполненных работ по форме № КС-2, справки о стоимости выполненных работ и затратах по форме № КС-3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акты приема-передачи оборудования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документы, подтверждающие приобретение (поставку) и монтаж оборудования (договор купли-продажи, товарная накладная, универсальный передаточный документ, счет-фактура и др.)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платежные поручения (платежные документы), подтверждающие фактически понесенные расходы на выполнение строительных работ и (или) приобретение оборудования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подписанные усиленной квалифицирован</w:t>
      </w:r>
      <w:r>
        <w:rPr>
          <w:rFonts w:ascii="Times New Roman" w:hAnsi="Times New Roman"/>
          <w:sz w:val="24"/>
          <w:szCs w:val="24"/>
          <w:lang w:eastAsia="ru-RU"/>
        </w:rPr>
        <w:t xml:space="preserve">ной электронной подписью кредитной организации платежные поручения, подтверждающие перечисление участником отбора средств общеобразовательной организации на реализацию намерений, закрепленных в соглашении о сотрудничестве с общеобразовательной организацией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подписанные усиленной квалифицированной электронной подписью кредитной организации платежные поручения, подтверждающие оплату общеобразовательной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организацией стоимости выполнения строительных работ и (или) закупки оборудования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объекты среднего профессионального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,75 чел./час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</w:t>
      </w:r>
      <w:r>
        <w:rPr>
          <w:b/>
          <w:bCs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соглашение о сотрудничестве с образовательной организацией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заверенная участником отбора сметная документация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заключение о проверке достоверности определения сметной стоимости (при наличии);</w:t>
      </w:r>
      <w:r>
        <w:rPr>
          <w:rFonts w:ascii="Times New Roman" w:hAnsi="Times New Roman"/>
          <w:sz w:val="24"/>
          <w:szCs w:val="24"/>
          <w:lang w:eastAsia="ru-RU"/>
        </w:rPr>
        <w:t xml:space="preserve"> - 0,25 чел./час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заверенные участником отбора контракты, договоры об оказании услуг (выполнении работ)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акты о приемке выполненных работ или акты о приемке выполненных работ  по форме № КС-2, справки о стоимости выполненных работ и затратах по форме № КС-3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акты приема-передачи оборудования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документы, подтверждающие приобретение (поставку) и монтаж оборудования (договор купли-продажи, товарная накладная, универсальный передаточный документ, счет-фактура и др.)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платежные поручения (платежные документы), подтверждающие фактически понесенные расходы на выполнение строительных работ и (или) приобретение оборудования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подписанные усиленной квалифицированной электронной подписью кредитной организации платежные поручения, подтверждающие оплату образовательной организацией стоимости выполнения строительных работ и (или) закупки оборудования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чел</w:t>
      </w:r>
      <w:bookmarkStart w:id="5" w:name="_GoBack"/>
      <w:r/>
      <w:bookmarkEnd w:id="5"/>
      <w:r>
        <w:rPr>
          <w:rFonts w:ascii="Times New Roman" w:hAnsi="Times New Roman"/>
          <w:sz w:val="24"/>
          <w:szCs w:val="24"/>
          <w:lang w:eastAsia="ru-RU"/>
        </w:rPr>
        <w:t xml:space="preserve">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bookmarkStart w:id="6" w:name="_Hlk187747149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строительств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жилья, по договору найма жилого помещения</w:t>
      </w:r>
      <w:bookmarkEnd w:id="6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</w:t>
        <w:br/>
        <w:t xml:space="preserve">7,55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копия договора найма жилого помещения, заключенного между специалистом и образовательной организацией (научным учреждением)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0,5 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копия утвержденной проектной документации и копии иных утвержденных документов, подготавливаемых в соответствии со статьей 48 Градостроительного кодекса Российской Федерации в отношении дома блокированной застройки</w:t>
      </w:r>
      <w:r>
        <w:rPr>
          <w:rFonts w:ascii="Times New Roman" w:hAnsi="Times New Roman"/>
          <w:sz w:val="24"/>
          <w:szCs w:val="24"/>
          <w:lang w:eastAsia="ru-RU"/>
        </w:rPr>
        <w:t xml:space="preserve">, многоквартирного жилого дома</w:t>
      </w:r>
      <w:r>
        <w:rPr>
          <w:rFonts w:ascii="Times New Roman" w:hAnsi="Times New Roman"/>
          <w:sz w:val="24"/>
          <w:szCs w:val="24"/>
          <w:lang w:eastAsia="ru-RU"/>
        </w:rPr>
        <w:t xml:space="preserve"> – 1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ко</w:t>
      </w:r>
      <w:r>
        <w:rPr>
          <w:rFonts w:ascii="Times New Roman" w:hAnsi="Times New Roman"/>
          <w:sz w:val="24"/>
          <w:szCs w:val="24"/>
          <w:lang w:eastAsia="ru-RU"/>
        </w:rPr>
        <w:t xml:space="preserve">пия заключения государственной экспертизы проектной документации и результатов инженерных изысканий, проводимой в соответствии с постановлением Правительства Российской Федерации от 5 марта 2007 г. № 145 «О порядке организации и проведения государственной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экспертизы проектной документации и результатов инженерных изысканий», включающей проверку достоверности определения сметной стоимости строительства, реконструкции, капитального ремонта в отношении дома блокированной застройки, многоквартирного жилого дома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заверенная участником отбора сметная документация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1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заключение о проверке достоверности определения сметной стоимости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недвижимости на земельный участок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0,15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копия контракта участника отбора со строительной организацией (договор подряда на строительство)</w:t>
      </w:r>
      <w:r>
        <w:rPr>
          <w:rFonts w:ascii="Times New Roman" w:hAnsi="Times New Roman"/>
          <w:sz w:val="24"/>
          <w:szCs w:val="24"/>
          <w:lang w:eastAsia="ru-RU"/>
        </w:rPr>
        <w:t xml:space="preserve"> – 1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акты о приемке выполненных работ или акты о приемке выполненных работ  по форме № КС-2, справки о стоимости выполненных работ и затратах по форме № КС-3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1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выписка из Единого государственного реестра недвижимости (ЕГРН) на построенный объект недвижимости, предоставленный по договору найма специалисту</w:t>
      </w:r>
      <w:r>
        <w:rPr>
          <w:rFonts w:ascii="Times New Roman" w:hAnsi="Times New Roman"/>
          <w:sz w:val="24"/>
          <w:szCs w:val="24"/>
          <w:lang w:eastAsia="ru-RU"/>
        </w:rPr>
        <w:t xml:space="preserve"> – 0,15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платежные поручения (платежные документы), подтверждающие фактически понесенные расходы на выполнение строительных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копии документов, удостоверяющих личность специалиста и членов его семьи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копии документов, подтверждающих родственные отношения между специалистом и членами его семьи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копия документа, подтверждающего признание специалиста нуждающимся в улучшении жилищных условий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согласие специалиста в письменной форме на передачу и обработку персональных данных в соответствии с Федеральным законом от 27 июля 2006 года № 152-ФЗ «О персональных данных»</w:t>
      </w:r>
      <w:r>
        <w:rPr>
          <w:rFonts w:ascii="Times New Roman" w:hAnsi="Times New Roman"/>
          <w:sz w:val="24"/>
          <w:szCs w:val="24"/>
          <w:lang w:eastAsia="ru-RU"/>
        </w:rPr>
        <w:t xml:space="preserve"> - 0,25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отчет об оценке независимого оценщика об определении рыночной стоимости объекта 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договор купли-продажи объекта недвижимости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0,5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недвижимости (ЕГРН) на объект недвижимости на объект недвижимости, принадл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жащий участнику отбора</w:t>
      </w:r>
      <w:r>
        <w:rPr>
          <w:rFonts w:ascii="Times New Roman" w:hAnsi="Times New Roman"/>
          <w:sz w:val="24"/>
          <w:szCs w:val="24"/>
          <w:lang w:eastAsia="ru-RU"/>
        </w:rPr>
        <w:t xml:space="preserve"> – 0,15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платежные поручения (платежные документы), подтверждающие фактически понесенные расходы на приобретение объекта 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– 0,25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bookmarkStart w:id="7" w:name="_Hlk187746076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63 597,2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bookmarkEnd w:id="7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руб. 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часа 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bookmarkStart w:id="8" w:name="_Hlk187747261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 </w:t>
      </w:r>
      <w:bookmarkEnd w:id="8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руб.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63 597,2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руб./21 день/8 час.) 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Практика, обучение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136,3 тыс. рублей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378,6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*9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чел./час.*40 ед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Выплаты стимулирующего характера учителям –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34,8 тыс. рублей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(378,6*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5,75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чел./час.*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16 ед.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Выплаты стимулирующего характера специалистам –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19,8 тыс. рублей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(378,6*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5,25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чел./час.*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10 ед.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Затраты на создание агротехнологического класса –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48,5 тыс. рублей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(378,6*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8 чел./час.*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16 ед.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Затраты на объекты среднего профессионального образования –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6,6 тыс. рублей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378,6*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8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,75 чел./час.*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2 ед.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Затраты на строительство жилья, по договору найма жилого помещения –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14,4 тыс. рублей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(378,6*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 чел./час.*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 ед.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Финансирование на 202</w:t>
      </w:r>
      <w:r>
        <w:rPr>
          <w:rFonts w:ascii="Times New Roman" w:hAnsi="Times New Roman"/>
          <w:b/>
          <w:bCs/>
          <w:sz w:val="24"/>
          <w:szCs w:val="24"/>
        </w:rPr>
        <w:t xml:space="preserve">5</w:t>
      </w:r>
      <w:r>
        <w:rPr>
          <w:rFonts w:ascii="Times New Roman" w:hAnsi="Times New Roman"/>
          <w:b/>
          <w:bCs/>
          <w:sz w:val="24"/>
          <w:szCs w:val="24"/>
        </w:rPr>
        <w:t xml:space="preserve">-202</w:t>
      </w:r>
      <w:r>
        <w:rPr>
          <w:rFonts w:ascii="Times New Roman" w:hAnsi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/>
          <w:b/>
          <w:bCs/>
          <w:sz w:val="24"/>
          <w:szCs w:val="24"/>
        </w:rPr>
        <w:t xml:space="preserve">годы</w:t>
      </w:r>
      <w:r>
        <w:rPr>
          <w:rFonts w:ascii="Times New Roman" w:hAnsi="Times New Roman"/>
          <w:sz w:val="24"/>
          <w:szCs w:val="24"/>
        </w:rPr>
        <w:t xml:space="preserve"> предусмотрено «Выпиской из сводной бюджетной росписи расходов областного бюджета на 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финансовый год и на плановый период 202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годов» в объемах: 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313 006,17</w:t>
      </w:r>
      <w:r>
        <w:rPr>
          <w:rFonts w:ascii="Times New Roman" w:hAnsi="Times New Roman"/>
          <w:sz w:val="24"/>
          <w:szCs w:val="24"/>
        </w:rPr>
        <w:t xml:space="preserve"> тыс. руб.;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2026 г.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540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856</w:t>
      </w:r>
      <w:r>
        <w:rPr>
          <w:rFonts w:ascii="Times New Roman" w:hAnsi="Times New Roman"/>
          <w:sz w:val="24"/>
          <w:szCs w:val="24"/>
        </w:rPr>
        <w:t xml:space="preserve">,818</w:t>
      </w:r>
      <w:r>
        <w:rPr>
          <w:rFonts w:ascii="Times New Roman" w:hAnsi="Times New Roman"/>
          <w:sz w:val="24"/>
          <w:szCs w:val="24"/>
        </w:rPr>
        <w:t xml:space="preserve"> тыс. руб.;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2027 г.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316 094,274</w:t>
      </w:r>
      <w:r>
        <w:rPr>
          <w:rFonts w:ascii="Times New Roman" w:hAnsi="Times New Roman"/>
          <w:sz w:val="24"/>
          <w:szCs w:val="24"/>
        </w:rPr>
        <w:t xml:space="preserve"> тыс. руб.</w:t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Общая сумма заложенных в бюджете на 202</w:t>
      </w:r>
      <w:r>
        <w:rPr>
          <w:rFonts w:ascii="Times New Roman" w:hAnsi="Times New Roman"/>
          <w:b/>
          <w:bCs/>
          <w:sz w:val="24"/>
          <w:szCs w:val="24"/>
        </w:rPr>
        <w:t xml:space="preserve">5</w:t>
      </w:r>
      <w:r>
        <w:rPr>
          <w:rFonts w:ascii="Times New Roman" w:hAnsi="Times New Roman"/>
          <w:b/>
          <w:bCs/>
          <w:sz w:val="24"/>
          <w:szCs w:val="24"/>
        </w:rPr>
        <w:t xml:space="preserve">-202</w:t>
      </w:r>
      <w:r>
        <w:rPr>
          <w:rFonts w:ascii="Times New Roman" w:hAnsi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/>
          <w:b/>
          <w:bCs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средств </w:t>
      </w:r>
      <w:r>
        <w:rPr>
          <w:rFonts w:ascii="Times New Roman" w:hAnsi="Times New Roman"/>
          <w:b/>
          <w:bCs/>
          <w:sz w:val="24"/>
          <w:szCs w:val="24"/>
        </w:rPr>
        <w:t xml:space="preserve">1 169 957,263</w:t>
      </w:r>
      <w:r>
        <w:rPr>
          <w:rFonts w:ascii="Times New Roman" w:hAnsi="Times New Roman"/>
          <w:b/>
          <w:bCs/>
          <w:sz w:val="24"/>
          <w:szCs w:val="24"/>
        </w:rPr>
        <w:t xml:space="preserve"> тыс. руб.:</w:t>
      </w:r>
      <w:r/>
    </w:p>
    <w:p>
      <w:pPr>
        <w:pStyle w:val="818"/>
        <w:jc w:val="both"/>
      </w:pPr>
      <w:r>
        <w:rPr>
          <w:b/>
          <w:bCs/>
        </w:rPr>
        <w:t xml:space="preserve">- практика</w:t>
      </w:r>
      <w:r>
        <w:rPr>
          <w:b/>
          <w:bCs/>
        </w:rPr>
        <w:t xml:space="preserve"> и обучение</w:t>
      </w:r>
      <w:r>
        <w:rPr>
          <w:b/>
          <w:bCs/>
        </w:rPr>
        <w:t xml:space="preserve"> – </w:t>
      </w:r>
      <w:r>
        <w:rPr>
          <w:b/>
          <w:bCs/>
        </w:rPr>
        <w:t xml:space="preserve">50 573,994</w:t>
      </w:r>
      <w:r>
        <w:rPr>
          <w:b/>
          <w:bCs/>
        </w:rPr>
        <w:t xml:space="preserve"> тыс. руб. (</w:t>
      </w:r>
      <w:r>
        <w:t xml:space="preserve">средства федерального бюджета – </w:t>
      </w:r>
      <w:r>
        <w:t xml:space="preserve">44 623,3</w:t>
      </w:r>
      <w:r>
        <w:t xml:space="preserve"> тыс. руб., средства областного бюджета </w:t>
      </w:r>
      <w:r>
        <w:t xml:space="preserve">5 950,694 тыс.</w:t>
      </w:r>
      <w:r>
        <w:t xml:space="preserve"> руб.); </w:t>
      </w:r>
      <w:r/>
    </w:p>
    <w:p>
      <w:pPr>
        <w:pStyle w:val="818"/>
        <w:jc w:val="both"/>
      </w:pPr>
      <w:r>
        <w:t xml:space="preserve">-</w:t>
      </w:r>
      <w:r>
        <w:rPr>
          <w:b/>
          <w:bCs/>
        </w:rPr>
        <w:t xml:space="preserve"> </w:t>
      </w:r>
      <w:r>
        <w:rPr>
          <w:b/>
          <w:bCs/>
        </w:rPr>
        <w:t xml:space="preserve">выплаты стимулирующего характера</w:t>
      </w:r>
      <w:r>
        <w:rPr>
          <w:b/>
          <w:bCs/>
        </w:rPr>
        <w:t xml:space="preserve"> –</w:t>
      </w:r>
      <w:r>
        <w:rPr>
          <w:b/>
          <w:bCs/>
        </w:rPr>
        <w:t xml:space="preserve"> </w:t>
      </w:r>
      <w:r>
        <w:rPr>
          <w:b/>
          <w:bCs/>
        </w:rPr>
        <w:t xml:space="preserve">301 129,318 </w:t>
      </w:r>
      <w:r>
        <w:rPr>
          <w:b/>
          <w:bCs/>
        </w:rPr>
        <w:t xml:space="preserve">тыс. руб. </w:t>
      </w:r>
      <w:r>
        <w:t xml:space="preserve">(средства федерального бюджета – </w:t>
      </w:r>
      <w:r>
        <w:t xml:space="preserve"> </w:t>
      </w:r>
      <w:r>
        <w:t xml:space="preserve">259 158,6 </w:t>
      </w:r>
      <w:r>
        <w:t xml:space="preserve">тыс. руб., средства областного бюджета </w:t>
      </w:r>
      <w:r>
        <w:t xml:space="preserve">41 970,718 </w:t>
      </w:r>
      <w:r>
        <w:t xml:space="preserve">тыс. руб.)</w:t>
      </w:r>
      <w:bookmarkStart w:id="9" w:name="undefined"/>
      <w:r/>
      <w:bookmarkEnd w:id="9"/>
      <w:r/>
      <w:r/>
    </w:p>
    <w:p>
      <w:pPr>
        <w:pStyle w:val="818"/>
        <w:jc w:val="both"/>
      </w:pPr>
      <w:r>
        <w:t xml:space="preserve"> - </w:t>
      </w:r>
      <w:r>
        <w:rPr>
          <w:b/>
          <w:bCs/>
        </w:rPr>
        <w:t xml:space="preserve">модернизация объектов СПО</w:t>
      </w:r>
      <w:r>
        <w:rPr>
          <w:b/>
          <w:bCs/>
        </w:rPr>
        <w:t xml:space="preserve"> </w:t>
      </w:r>
      <w:bookmarkStart w:id="10" w:name="_Hlk187680287"/>
      <w:r>
        <w:rPr>
          <w:b/>
          <w:bCs/>
        </w:rPr>
        <w:t xml:space="preserve">– </w:t>
      </w:r>
      <w:r>
        <w:rPr>
          <w:b/>
          <w:bCs/>
        </w:rPr>
        <w:t xml:space="preserve">481 232,093 </w:t>
      </w:r>
      <w:r>
        <w:t xml:space="preserve">тыс. руб. (средства федерального бюджета – </w:t>
      </w:r>
      <w:r>
        <w:t xml:space="preserve">434 043,7 </w:t>
      </w:r>
      <w:r>
        <w:t xml:space="preserve">тыс. руб., средства областного бюджета </w:t>
      </w:r>
      <w:r>
        <w:t xml:space="preserve">47 188,393 </w:t>
      </w:r>
      <w:r>
        <w:t xml:space="preserve">тыс. руб.)</w:t>
      </w:r>
      <w:bookmarkEnd w:id="10"/>
      <w:r/>
      <w:r/>
    </w:p>
    <w:p>
      <w:pPr>
        <w:pStyle w:val="818"/>
        <w:jc w:val="both"/>
      </w:pPr>
      <w:r>
        <w:t xml:space="preserve"> - </w:t>
      </w:r>
      <w:r>
        <w:rPr>
          <w:b/>
          <w:bCs/>
        </w:rPr>
        <w:t xml:space="preserve">агроклассы</w:t>
      </w:r>
      <w:r>
        <w:t xml:space="preserve">  </w:t>
      </w:r>
      <w:r>
        <w:t xml:space="preserve">– </w:t>
      </w:r>
      <w:r>
        <w:rPr>
          <w:b/>
          <w:bCs/>
        </w:rPr>
        <w:t xml:space="preserve">129 620,489</w:t>
      </w:r>
      <w:r>
        <w:rPr>
          <w:b/>
          <w:bCs/>
        </w:rPr>
        <w:t xml:space="preserve"> тыс. руб.</w:t>
      </w:r>
      <w:r>
        <w:t xml:space="preserve"> (средства федерального бюджета – </w:t>
      </w:r>
      <w:r>
        <w:t xml:space="preserve">114 117,8</w:t>
      </w:r>
      <w:r>
        <w:t xml:space="preserve"> тыс. руб., средства областного бюджета  </w:t>
      </w:r>
      <w:r>
        <w:t xml:space="preserve">15 502,689 </w:t>
      </w:r>
      <w:r>
        <w:t xml:space="preserve">тыс. руб.)</w:t>
      </w:r>
      <w:r/>
    </w:p>
    <w:p>
      <w:pPr>
        <w:pStyle w:val="818"/>
        <w:jc w:val="both"/>
      </w:pPr>
      <w:r>
        <w:t xml:space="preserve"> - </w:t>
      </w:r>
      <w:r>
        <w:rPr>
          <w:b/>
          <w:bCs/>
        </w:rPr>
        <w:t xml:space="preserve">соцнайм</w:t>
      </w:r>
      <w:r>
        <w:t xml:space="preserve"> </w:t>
      </w:r>
      <w:r>
        <w:t xml:space="preserve">– </w:t>
      </w:r>
      <w:r>
        <w:rPr>
          <w:b/>
          <w:bCs/>
        </w:rPr>
        <w:t xml:space="preserve">207 401,367</w:t>
      </w:r>
      <w:r>
        <w:rPr>
          <w:b/>
          <w:bCs/>
        </w:rPr>
        <w:t xml:space="preserve"> тыс. руб.</w:t>
      </w:r>
      <w:r>
        <w:t xml:space="preserve"> (средства федерального бюджета – </w:t>
      </w:r>
      <w:r>
        <w:t xml:space="preserve">177 433,7</w:t>
      </w:r>
      <w:r>
        <w:t xml:space="preserve"> тыс. руб., средства областного бюджета </w:t>
      </w:r>
      <w:r>
        <w:t xml:space="preserve">29 967,06</w:t>
      </w:r>
      <w:r>
        <w:t xml:space="preserve"> тыс. руб.)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63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rPr>
      <w:lang w:eastAsia="zh-CN"/>
    </w:r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Заголовок Знак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798">
    <w:name w:val="Hyperlink"/>
    <w:uiPriority w:val="99"/>
    <w:unhideWhenUsed/>
    <w:rPr>
      <w:color w:val="0000ff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  <w:rPr>
      <w:lang w:eastAsia="zh-CN"/>
    </w:rPr>
  </w:style>
  <w:style w:type="paragraph" w:styleId="815">
    <w:name w:val="table of figures"/>
    <w:basedOn w:val="634"/>
    <w:next w:val="634"/>
    <w:uiPriority w:val="99"/>
    <w:unhideWhenUsed/>
    <w:pPr>
      <w:spacing w:after="0"/>
    </w:pPr>
  </w:style>
  <w:style w:type="paragraph" w:styleId="816">
    <w:name w:val="Balloon Text"/>
    <w:basedOn w:val="634"/>
    <w:link w:val="8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7" w:customStyle="1">
    <w:name w:val="Текст выноски Знак"/>
    <w:link w:val="816"/>
    <w:uiPriority w:val="99"/>
    <w:semiHidden/>
    <w:rPr>
      <w:rFonts w:ascii="Segoe UI" w:hAnsi="Segoe UI" w:cs="Segoe UI"/>
      <w:sz w:val="18"/>
      <w:szCs w:val="18"/>
    </w:rPr>
  </w:style>
  <w:style w:type="paragraph" w:styleId="818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32</cp:revision>
  <dcterms:created xsi:type="dcterms:W3CDTF">2024-04-10T13:59:00Z</dcterms:created>
  <dcterms:modified xsi:type="dcterms:W3CDTF">2025-01-22T13:23:11Z</dcterms:modified>
  <cp:version>1048576</cp:version>
</cp:coreProperties>
</file>