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jc w:val="center"/>
        <w:rPr>
          <w:rFonts w:ascii="Times New Roman" w:hAnsi="Times New Roman" w:cs="Times New Roman"/>
          <w:b/>
          <w:sz w:val="26"/>
          <w:szCs w:val="26"/>
        </w:rPr>
      </w:pPr>
      <w:r/>
      <w:bookmarkStart w:id="0" w:name="P439"/>
      <w:r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Сводный отчет</w:t>
      </w:r>
      <w:r/>
    </w:p>
    <w:p>
      <w:pPr>
        <w:pStyle w:val="85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проведения оценки регулирующего воздействия</w:t>
      </w:r>
      <w:r/>
    </w:p>
    <w:p>
      <w:pPr>
        <w:pStyle w:val="85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проекта </w:t>
      </w:r>
      <w:r>
        <w:rPr>
          <w:rFonts w:ascii="Times New Roman" w:hAnsi="Times New Roman" w:cs="Times New Roman"/>
          <w:b/>
          <w:sz w:val="26"/>
          <w:szCs w:val="26"/>
        </w:rPr>
        <w:t xml:space="preserve">закона Белгородской области</w:t>
      </w:r>
      <w:r/>
    </w:p>
    <w:p>
      <w:pPr>
        <w:pStyle w:val="85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1. Общая информация:</w:t>
      </w:r>
      <w:r/>
    </w:p>
    <w:p>
      <w:pPr>
        <w:ind w:left="708" w:firstLine="1"/>
        <w:jc w:val="both"/>
        <w:spacing w:after="0" w:line="240" w:lineRule="auto"/>
        <w:rPr>
          <w:rFonts w:ascii="Times New Roman" w:hAnsi="Times New Roman" w:eastAsia="Calibri" w:cs="Times New Roman"/>
          <w:bCs/>
          <w:i/>
          <w:sz w:val="26"/>
          <w:szCs w:val="26"/>
          <w:highlight w:val="none"/>
          <w:u w:val="single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1.1. Орган-разработчик (инициатор проекта 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закона 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Белгородской области): </w:t>
      </w:r>
      <w:r>
        <w:rPr>
          <w:rFonts w:ascii="Times New Roman" w:hAnsi="Times New Roman" w:eastAsia="Calibri" w:cs="Times New Roman"/>
          <w:i/>
          <w:sz w:val="26"/>
          <w:szCs w:val="26"/>
          <w:highlight w:val="none"/>
          <w:u w:val="single"/>
          <w:lang w:eastAsia="ru-RU"/>
        </w:rPr>
        <w:t xml:space="preserve">Депутат Белгородской областной Думы, первый заместитель председателя Белгородской областной Думы Киреева Любовь Петровна.</w:t>
      </w:r>
      <w:r>
        <w:rPr>
          <w:highlight w:val="yellow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1.2. Вид и наименование проекта 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закона Белгородской области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i/>
          <w:sz w:val="26"/>
          <w:szCs w:val="26"/>
          <w:u w:val="single"/>
          <w:lang w:eastAsia="ru-RU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  <w:lang w:eastAsia="ru-RU"/>
        </w:rPr>
        <w:t xml:space="preserve">Проект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  <w:lang w:eastAsia="ru-RU"/>
        </w:rPr>
        <w:t xml:space="preserve">закона Белгородской области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  <w:lang w:eastAsia="ru-RU"/>
        </w:rPr>
        <w:t xml:space="preserve">«О внесении изменений в закон Белгородской области «Об ограничениях в сфере розничной продажи тонизирующих напитков» и статью 2.22 закона Белгородской области «Об административных правонарушениях на территории Белгородской области»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1.3. Сроки проведения публичного обсуждения проекта нормативного правового акта: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начало: 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«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31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» 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января 2025 г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.;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окончание: 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«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13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» 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февраля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 202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5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 г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1.4. Степень регулирующего воздействия проекта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закона Белгородской области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: 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с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редняя.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Проект 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закона Белгородской области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, в дополнение к уже установленному законом Белгородской области от 30 октября 2014 года № 311 «Об ограничениях в сфере розничной продажи тонизирующих напитков» запре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ту продажи безалкогольных тонизирующих напитков (в том числе энергетических) в зданиях, строениях сооружениях, помещениях, используемых для непосредственного осуществления образовательной деятельности, медицинской деятельности, физической культуры и спорта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, а также в местах проведения культурно-массовых мероприятий, 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предлагает установить запрет 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на 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продаж</w:t>
      </w:r>
      <w:bookmarkStart w:id="1" w:name="_GoBack"/>
      <w:r/>
      <w:bookmarkEnd w:id="1"/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у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 безалкогольных тонизирующих напитков (в том числе энергетических) в зданиях, строениях сооружениях, помещениях, используемых для непосредственного осуществления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 деятел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ьности в области культуры.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Остальные положения проекта закона Белгородской области направлены на приведение законов Белгородской области в сфере 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продажи безалкогольных тонизирующих напитков (в том числе энергетических)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 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в соответствие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 с нормами Федерального закона от 8 августа 2024 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года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1.5. Контактная информация об исполнителе (составителе отчета об ОРВ):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Ф.И.О.: 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Леонюк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 Сергей Сергеевич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лжность: 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заместитель начальника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 отдела регионального контроля департамента потребительского рынка министерства сельского хозяйства и продовольствия Белгородской области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i/>
          <w:sz w:val="26"/>
          <w:szCs w:val="26"/>
          <w:highlight w:val="none"/>
          <w:u w:val="singl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Тел.: 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(4722) 32-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51-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u w:val="single"/>
        </w:rPr>
        <w:t xml:space="preserve">89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 Адрес электронной почты: 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</w:r>
      <w:hyperlink r:id="rId12" w:tooltip="http://leonuk@belapk.ru" w:history="1">
        <w:r>
          <w:rPr>
            <w:rStyle w:val="841"/>
            <w:rFonts w:ascii="Times New Roman" w:hAnsi="Times New Roman" w:eastAsia="Times New Roman" w:cs="Times New Roman"/>
            <w:i/>
            <w:sz w:val="26"/>
            <w:szCs w:val="26"/>
          </w:rPr>
          <w:t xml:space="preserve">leonuk</w:t>
        </w:r>
        <w:r>
          <w:rPr>
            <w:rStyle w:val="841"/>
            <w:rFonts w:ascii="Times New Roman" w:hAnsi="Times New Roman" w:eastAsia="Times New Roman" w:cs="Times New Roman"/>
            <w:i/>
            <w:sz w:val="26"/>
            <w:szCs w:val="26"/>
          </w:rPr>
          <w:t xml:space="preserve">@belapk.ru</w:t>
        </w:r>
        <w:r>
          <w:rPr>
            <w:rStyle w:val="841"/>
          </w:rPr>
        </w:r>
      </w:hyperlink>
      <w:r/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i/>
          <w:sz w:val="26"/>
          <w:szCs w:val="26"/>
          <w:highlight w:val="none"/>
          <w:u w:val="single"/>
        </w:rPr>
        <w:t xml:space="preserve">Контактные данные лица, ответственного за разработку проекта закона: консультант отдела законотворческой деятельности и правового мониторинга правового управления аппарата Белгородской областной Думы Горьянова Ольга Олеговна; тел.: 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(4722) 32-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17-</w:t>
      </w:r>
      <w:r>
        <w:rPr>
          <w:rFonts w:ascii="Times New Roman" w:hAnsi="Times New Roman" w:eastAsia="Times New Roman" w:cs="Times New Roman"/>
          <w:i/>
          <w:sz w:val="26"/>
          <w:szCs w:val="26"/>
          <w:highlight w:val="none"/>
          <w:u w:val="single"/>
        </w:rPr>
        <w:t xml:space="preserve">08</w:t>
      </w:r>
      <w:r>
        <w:rPr>
          <w:rFonts w:ascii="Times New Roman" w:hAnsi="Times New Roman" w:eastAsia="Times New Roman" w:cs="Times New Roman"/>
          <w:i/>
          <w:sz w:val="26"/>
          <w:szCs w:val="26"/>
          <w:highlight w:val="none"/>
          <w:u w:val="singl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 Опис</w:t>
      </w:r>
      <w:r>
        <w:rPr>
          <w:rFonts w:ascii="Times New Roman" w:hAnsi="Times New Roman" w:eastAsia="Calibri" w:cs="Times New Roman"/>
          <w:sz w:val="26"/>
          <w:szCs w:val="26"/>
        </w:rPr>
        <w:t xml:space="preserve">ание проблемы, на решение которой направлено вводимое правовое регулирование: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2.1. Проблема, на решение которой направлен предлагаемый способ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 xml:space="preserve">В последние годы в целом по стране наблюдается рост производства безалкогольных тонизирующих напитков или так называемых «энергетиков». </w:t>
      </w: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 xml:space="preserve">Увеличение темпов их производства напрямую обусловлено повышенным спросом на указанную продукцию, особенно, среди подростков и молодёжи. Популярность «энергетиков» активно поддерживается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 xml:space="preserve">рекламными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 xml:space="preserve">средствами различного характера.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 xml:space="preserve">Неконтролируемое употребление безалкогольных тонизирующих напитков многократно усиливает риск токсического,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 xml:space="preserve">мутагенного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 xml:space="preserve">и канцерогенного действия на человека. Все это в немалой степени способствует снижению уровня средней продолжительности жизни и росту показателя преждевременной смертности населения.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 xml:space="preserve">В Ро</w:t>
      </w: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 xml:space="preserve">ссийской Федерации до недавнего времени не был принят федеральный закон, регулирующий деятельность в сфере розничной продажи безалкогольных тонизирующих (в том числе энергетических) напитков. Между тем, в подобном регулировании стояла острая необходимость.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 xml:space="preserve">В Белгородской области, наряду с 64 субъектами Российской Федерации с 2014 года действует закон Белгородской области «Об ограничениях в сфере розничной продажи тонизирующих напитков», </w:t>
      </w: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 xml:space="preserve">которым установлен ряд ограничений в сфере розничной продажи безалкогольных тонизирующих напитков, в соответствии с которыми не допускается розничная продажа безалкогольных тонизирующих напитков: несовершеннолетним; в детских, образовательных и медицинских</w:t>
      </w: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 xml:space="preserve">организациях; на объектах спорта; в местах проведения культурно-массовых мероприятий.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 xml:space="preserve">Представленный проект закона области разработан в целях реализации Федерального закона от 8</w:t>
      </w: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 xml:space="preserve"> августа </w:t>
      </w: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 xml:space="preserve">2024 </w:t>
      </w: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 xml:space="preserve">года </w:t>
      </w: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 xml:space="preserve">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</w:t>
      </w: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 xml:space="preserve">чной власти в субъектах Российской Федерации», который на федеральном уровне установил запрет продажи несовершеннолетним безалкогольных тонизирующих напитков (в том числе энергетических) и наделил субъекты Российской Федерации правом устанавливать законом </w:t>
      </w: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 xml:space="preserve">субъекта запрет продажи безалкогольных тонизирующих напитков (в том числе энергетических) в определённых объектах, аналогичных тем, которые закреплены указанным законом области на сегодняшний день, а также ограничения времени и мест продажи таких напитков.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2.2. Информация о возникновении и выявлении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 xml:space="preserve">- </w:t>
      </w: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 xml:space="preserve">формирование культуры массового потребления тонизирующих напитков (в том числе энергетических) в подростковой и молодёжной среде</w:t>
      </w: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 xml:space="preserve">- </w:t>
      </w: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 xml:space="preserve">низкая степень просвещённости граждан о вреде употребления безалкогольных тонизирующих напитков (в том числе энергетических);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 xml:space="preserve">- длительное отсутствие правового регулирования в сфере продажи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 xml:space="preserve">безалкогольных тонизирующих напитков (в том числе энергетических)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 xml:space="preserve">на федеральном уровне.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2.3. Негативные эффекты, возникающие в связи с наличием рассматриваемой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 xml:space="preserve">Потребление безалкогольных тонизирующих напитков в большом количестве наносит безусловный вред здоровью людей, вызывает бессонницу, утомление, быстрое истощение ресурсов организма, проблемы с сердечно-сосудистой системой.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 xml:space="preserve">Некоторые исследования связывают употребление энергетических напитков с увеличением риска развития инсультов у молодых людей, поскольку высокое содержание кофеина в этих напитках может способствовать повышению </w:t>
      </w: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 xml:space="preserve">артериального давления и сужению сосудов, что в свою очередь увеличивает вероятность развития инсульта.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 xml:space="preserve">Кроме того, регулярное потребление безалкогольных </w:t>
      </w: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 xml:space="preserve">тонизирующих напитков (в том числе энергетических) формирует, в первую очередь у молодых людей, соответствующую зависимость от них, проявляющуюся в слабости, вялости, раздражительности, а также способно вызвать обострение нервных и психических заболеваний.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2.4. Анализ опыта иных субъектов Российской Федерации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в соответствующих сфе</w:t>
      </w:r>
      <w:r>
        <w:rPr>
          <w:rFonts w:ascii="Times New Roman" w:hAnsi="Times New Roman" w:eastAsia="Calibri" w:cs="Times New Roman"/>
          <w:sz w:val="26"/>
          <w:szCs w:val="26"/>
        </w:rPr>
        <w:t xml:space="preserve">рах </w:t>
      </w:r>
      <w:r>
        <w:rPr>
          <w:rFonts w:ascii="Times New Roman" w:hAnsi="Times New Roman" w:eastAsia="Calibri" w:cs="Times New Roman"/>
          <w:sz w:val="26"/>
          <w:szCs w:val="26"/>
        </w:rPr>
        <w:t xml:space="preserve">деятельности:</w:t>
      </w:r>
      <w:r>
        <w:rPr>
          <w:rFonts w:ascii="Times New Roman" w:hAnsi="Times New Roman" w:eastAsia="Calibri" w:cs="Times New Roman"/>
          <w:sz w:val="26"/>
          <w:szCs w:val="26"/>
        </w:rPr>
        <w:t xml:space="preserve">*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Проведенный анализ законодательства субъектов Российской Федерации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br/>
        <w:t xml:space="preserve">показал, что право субъектов Российской Федерации на установление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запретов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продажи безалкогольных тонизиру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ющих напитков (в том числе энергетических) в зданиях, строениях, сооружениях, помещениях, используемых для непосредственного осуществления образовательной деятельности, медицинской деятельности, деятельности в области культуры, физической культуры и спорта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,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уже реализовано в более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чем в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10 регионах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. Разработаны о проходят оценку регулирующего воздействия проекты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законов, а также уже приняты законы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в субъектах Российской Федерации, в том числе таких как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Воронежская, Волгоградская, Кировская, Пензенская, Омская и Амурская область, Ставропольский, Забайкальский и Хабаровский край, республики Алтай и Бурятия.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3. Цели вводимого правового регулирования и измеримые показатели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/>
        <w:t xml:space="preserve">их достижения: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3.1. Описание целей предл</w:t>
      </w:r>
      <w:r>
        <w:rPr>
          <w:rFonts w:ascii="Times New Roman" w:hAnsi="Times New Roman" w:eastAsia="Calibri" w:cs="Times New Roman"/>
          <w:sz w:val="26"/>
          <w:szCs w:val="26"/>
        </w:rPr>
        <w:t xml:space="preserve">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С</w:t>
      </w: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 xml:space="preserve">окращени</w:t>
      </w: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 xml:space="preserve">е</w:t>
      </w: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 xml:space="preserve"> объёма потребляемых населением Белгородской области,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 xml:space="preserve">в том числе молодёжью, безалкогольных тонизирующих напитков и как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 xml:space="preserve">следствие этого оздоровление населения в целом и снижение количества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 xml:space="preserve">противоправных действий, совершаемых в состоянии возбуждения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 xml:space="preserve">центральной нервной системы в результате употребления таких напитков.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3.2. Обоснование соответствия целей предлагаемого правового регулирования принципам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Представленный проект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закона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 Белгородской области подготовлен в целях реализации положений </w:t>
      </w: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 xml:space="preserve">Федерального закона от 8 августа 2024</w:t>
      </w: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 xml:space="preserve"> года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</w:t>
      </w: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 xml:space="preserve">,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 кот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орым узаконен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о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право субъекта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Российской Федерации на введение запретов и ограничений в области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торговли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безалкогольных тонизирующих напитков (в том числе энергетических)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.</w:t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3.3. Сроки достижения целей предлагаемого правового регулирования: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январь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 202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6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 года.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3.4. Иная информация о целях предлагаемого правового рег</w:t>
      </w:r>
      <w:r>
        <w:rPr>
          <w:rFonts w:ascii="Times New Roman" w:hAnsi="Times New Roman" w:eastAsia="Calibri" w:cs="Times New Roman"/>
          <w:sz w:val="26"/>
          <w:szCs w:val="26"/>
        </w:rPr>
        <w:t xml:space="preserve">улирования: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о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тсутствует.</w:t>
      </w:r>
      <w:r/>
    </w:p>
    <w:p>
      <w:pPr>
        <w:contextualSpacing/>
        <w:ind w:left="709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 Описание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4.1. Описание предлагаемого способа решения проблемы и преодоления связанных с ней негативных эффектов:</w:t>
      </w:r>
      <w:r/>
    </w:p>
    <w:p>
      <w:pPr>
        <w:ind w:left="0" w:right="0" w:firstLine="0"/>
        <w:jc w:val="both"/>
        <w:spacing w:after="0" w:line="240" w:lineRule="auto"/>
        <w:rPr>
          <w:bCs/>
          <w:i/>
          <w:sz w:val="26"/>
          <w:szCs w:val="26"/>
          <w:u w:val="single"/>
        </w:rPr>
      </w:pPr>
      <w:r>
        <w:rPr>
          <w:i/>
          <w:iCs/>
          <w:sz w:val="26"/>
          <w:szCs w:val="26"/>
          <w:u w:val="single"/>
        </w:rPr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Проектом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закона Белгородской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области устанавлива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е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тся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запрет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продажи безалкогольных тонизирующих напитков (в том числе энергетических)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в зданиях, строениях, сооружениях, помещениях, используемых для непосредственного осуществления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деятельности в области культуры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.</w:t>
      </w:r>
      <w:r>
        <w:rPr>
          <w:i/>
          <w:iCs/>
          <w:sz w:val="26"/>
          <w:szCs w:val="26"/>
          <w:u w:val="single"/>
        </w:rPr>
      </w:r>
      <w:r>
        <w:rPr>
          <w:i/>
          <w:iCs/>
          <w:sz w:val="26"/>
          <w:szCs w:val="26"/>
          <w:u w:val="singl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4.2. Альтернативные варианты решения проблемы: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  <w:lang w:eastAsia="ru-RU"/>
        </w:rPr>
        <w:t xml:space="preserve">тсутствует.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4.3. Обоснование выбора предлагаемого способа решения проблемы: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i/>
          <w:sz w:val="26"/>
          <w:szCs w:val="26"/>
          <w:u w:val="single"/>
          <w:lang w:eastAsia="ru-RU"/>
        </w:rPr>
        <w:t xml:space="preserve">Оптимальным вариантом решения проблемы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  <w:lang w:eastAsia="ru-RU"/>
        </w:rPr>
        <w:t xml:space="preserve">министерство сельского хозяйства и продовольствия Белгородской области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  <w:lang w:eastAsia="ru-RU"/>
        </w:rPr>
        <w:t xml:space="preserve"> считает принятие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  <w:lang w:eastAsia="ru-RU"/>
        </w:rPr>
        <w:t xml:space="preserve">проекта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  <w:lang w:eastAsia="ru-RU"/>
        </w:rPr>
        <w:t xml:space="preserve">зак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  <w:lang w:eastAsia="ru-RU"/>
        </w:rPr>
        <w:t xml:space="preserve">она Белгородской области «О внесении изменений в закон Белгородской области «Об ограничениях в сфере розничной продажи тонизирующих напитков» и статью 2.22 закона Белгородской области «Об административных правонарушениях на территории Белгородской области»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.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Принятие проекта закона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позволит создать оптимальные условия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для достижения цели по снижению неконтролируемого употребления безалкогольных тонизирующих напитков (в том числе энергетических) среди подростков и молодежи.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</w:rPr>
        <w:t xml:space="preserve">Предлагаемый проектом закона запрет коснется только тех хозяйствующих субъектов, коммерческая деятельность которых осуществляется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в зданиях, строениях, сооружениях, помещениях, используемых для непосредственного осуществления деятельности в области культуры.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4.4.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Основные группы субъектов предпринимательской и иной экономической деятельности, иные заинтересованные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tbl>
      <w:tblPr>
        <w:tblpPr w:horzAnchor="margin" w:tblpXSpec="left" w:vertAnchor="text" w:tblpY="50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64"/>
        <w:gridCol w:w="3403"/>
      </w:tblGrid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64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Группа участников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количества участников отношений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64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Организации, индивидуальные предприниматели, крестьянские (фермерские) хозяйства без образования юридического лица, граждане Российской Федерации, иностранные граждане и лица без гражданства</w:t>
            </w: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  <w:t xml:space="preserve">, осуществляющие розничную продажу </w:t>
            </w: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</w:rPr>
              <w:t xml:space="preserve">безалкогольных тонизирующих напитков (в том числе энергетических)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 зданиях, строениях, сооружениях, помещениях, используемых для непосредственного осуществления деятельности в области культуры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  <w:t xml:space="preserve">Не менее 1453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4.5. Оценка изменений обязательных требований, обязанностей, ограничений </w:t>
      </w:r>
      <w:r>
        <w:rPr>
          <w:rFonts w:ascii="Times New Roman" w:hAnsi="Times New Roman" w:eastAsia="Calibri" w:cs="Times New Roman"/>
          <w:bCs/>
          <w:sz w:val="26"/>
          <w:szCs w:val="26"/>
        </w:rPr>
        <w:br/>
        <w:t xml:space="preserve">и преимуществ, ответственности за нарушение нормативных правовых актов Белгородской области, расходов и доходов, а также ожидаемых издержек и выгод </w:t>
      </w:r>
      <w:r>
        <w:rPr>
          <w:rFonts w:ascii="Times New Roman" w:hAnsi="Times New Roman" w:eastAsia="Calibri" w:cs="Times New Roman"/>
          <w:bCs/>
          <w:sz w:val="26"/>
          <w:szCs w:val="26"/>
        </w:rPr>
        <w:br/>
        <w:t xml:space="preserve">для субъектов предпринимательской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 и иной экономической деятельности, интересы которых затрагиваются вводимым правовым регулированием: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tbl>
      <w:tblPr>
        <w:tblpPr w:horzAnchor="margin" w:tblpXSpec="left" w:vertAnchor="text" w:tblpY="69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544"/>
        <w:gridCol w:w="297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Группа участников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новых или изменения содержания существующих обязательных требований, обязанностей, ограничений, преимуществ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изменения расходов/доходов,</w:t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издержек/выгод,</w:t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тыс. рублей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Организации, индивидуальные предприниматели, крестьянские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(фермерские) хозяйства без образования юридического лица, граждане Российской Федерации, иностранные граждане и лица без гражданства</w:t>
            </w: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  <w:t xml:space="preserve">, осуществляющие розничную продажу </w:t>
            </w: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</w:rPr>
              <w:t xml:space="preserve"> безалкогольных тонизирующих напитков (в том числе энергетических)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 зданиях, строениях, сооружениях, помещениях, используемых для непосредственного осуществления деятельности в области культуры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Преимущества: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</w:rPr>
              <w:t xml:space="preserve">снижение неконтролируемого употребления безалкогольных </w:t>
            </w: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</w:rPr>
              <w:t xml:space="preserve">тонизирующих напитков (в том числе энергетических) среди подростков и молодежи</w:t>
            </w: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</w:rPr>
              <w:t xml:space="preserve">;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</w:rPr>
              <w:t xml:space="preserve">- повышение уровня средней продолжительности жизни и уменьшение показателя преждевременной смертности населения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</w:rPr>
              <w:t xml:space="preserve">Ограничения: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</w:rPr>
              <w:t xml:space="preserve">- запрет продаж хозяйствующими субъектами</w:t>
            </w: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</w:rPr>
              <w:t xml:space="preserve">безалкогольных тонизирующих напитков (в том числе энергетических)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 зданиях, строениях, сооружениях, помещениях, используемых для непосредственного осуществления деятельности в области культуры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i/>
                <w:spacing w:val="-6"/>
                <w:sz w:val="26"/>
                <w:szCs w:val="26"/>
                <w:lang w:eastAsia="ru-RU"/>
              </w:rPr>
              <w:t xml:space="preserve">Возможная упущенная выгода (выручка) хозяйствующих субъектов</w:t>
            </w: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lang w:eastAsia="ru-RU"/>
              </w:rPr>
              <w:t xml:space="preserve">осуществляющих </w:t>
            </w: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lang w:eastAsia="ru-RU"/>
              </w:rPr>
              <w:t xml:space="preserve">розничную продажу </w:t>
            </w: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</w:rPr>
              <w:t xml:space="preserve">безалкогольных тонизирующих напитков (в том числе энергетических)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 зданиях, строениях, сооружениях, помещениях, используемых для непосредственного осуществления деятельности в области культуры</w:t>
            </w: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lang w:eastAsia="ru-RU"/>
              </w:rPr>
              <w:t xml:space="preserve"> на территории Белгородской области</w:t>
            </w: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br/>
            </w:r>
            <w:r>
              <w:rPr>
                <w:rFonts w:ascii="Times New Roman" w:hAnsi="Times New Roman" w:eastAsia="Times New Roman"/>
                <w:i/>
                <w:spacing w:val="-6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i/>
                <w:spacing w:val="-6"/>
                <w:sz w:val="28"/>
                <w:szCs w:val="28"/>
                <w:lang w:eastAsia="ru-RU"/>
              </w:rPr>
              <w:t xml:space="preserve">1,</w:t>
            </w:r>
            <w:r>
              <w:rPr>
                <w:rFonts w:ascii="Times New Roman" w:hAnsi="Times New Roman" w:eastAsia="Times New Roman"/>
                <w:i/>
                <w:spacing w:val="-6"/>
                <w:sz w:val="28"/>
                <w:szCs w:val="28"/>
                <w:lang w:eastAsia="ru-RU"/>
              </w:rPr>
              <w:t xml:space="preserve">79</w:t>
            </w:r>
            <w:r>
              <w:rPr>
                <w:rFonts w:ascii="Times New Roman" w:hAnsi="Times New Roman" w:eastAsia="Times New Roman"/>
                <w:i/>
                <w:spacing w:val="-6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i/>
                <w:spacing w:val="-6"/>
                <w:sz w:val="28"/>
                <w:szCs w:val="28"/>
                <w:lang w:eastAsia="ru-RU"/>
              </w:rPr>
              <w:t xml:space="preserve"> млн руб. в месяц.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0"/>
          <w:szCs w:val="20"/>
        </w:rPr>
      </w:pPr>
      <w:r>
        <w:rPr>
          <w:rFonts w:ascii="Times New Roman" w:hAnsi="Times New Roman" w:eastAsia="Calibri" w:cs="Times New Roman"/>
          <w:bCs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4.6. Новые ф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ункции, полномочия, обязанности и права, а также ожидаемые издержки и выгоды органов государственной власти и органов местного самоуправления области или сведения об их 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изменении:*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tbl>
      <w:tblPr>
        <w:tblpPr w:horzAnchor="margin" w:tblpXSpec="left" w:vertAnchor="text" w:tblpY="75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4252"/>
        <w:gridCol w:w="212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Наименование органа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2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новых или изменения существующих функций, полн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омочий, обязанностей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или прав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изменения трудозатрат и (или) потребностей в иных ресурсах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ind w:right="-28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  <w:t xml:space="preserve">Министерство сельского хозяйства и продовольствия Белгородской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Региональный государственный контроль (надзор) в области продажи безалкогольных тонизирующих напитков (в том числе энергетических)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будет осуществляться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министерством в рамках установленных полномочий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  <w:t xml:space="preserve">Дополнительные трудозатраты не потребуются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4.7. Оценка расходов (возможных поступлений) консолидированного бюджета Белгородской 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области:*</w:t>
      </w:r>
      <w:r/>
    </w:p>
    <w:tbl>
      <w:tblPr>
        <w:tblpPr w:horzAnchor="margin" w:tblpXSpec="left" w:vertAnchor="text" w:tblpY="58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4110"/>
        <w:gridCol w:w="2268"/>
      </w:tblGrid>
      <w:tr>
        <w:trPr/>
        <w:tc>
          <w:tcPr>
            <w:tcW w:w="3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новых или изменения существующих функций, полномочий, обязанностей или прав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видов расходов (возможных поступлений) консолидированного бюджета Б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елгородской области 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Количественная оценка расходов и возможных поступлений,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тыс. рублей</w:t>
            </w:r>
            <w:r/>
          </w:p>
        </w:tc>
      </w:tr>
      <w:tr>
        <w:trPr/>
        <w:tc>
          <w:tcPr>
            <w:tcW w:w="3289" w:type="dxa"/>
            <w:textDirection w:val="lrTb"/>
            <w:noWrap w:val="false"/>
          </w:tcPr>
          <w:p>
            <w:pPr>
              <w:ind w:right="57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  <w:t xml:space="preserve">Функции министерства будут осуществляться в рамках установленных </w:t>
            </w: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  <w:t xml:space="preserve">полномочий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  <w:t xml:space="preserve">Расходов (дополнительных поступлений) консолидированного бюджета Белгородской области не </w:t>
            </w: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  <w:t xml:space="preserve">предусмотрено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Финансирование на 2025 год не предусмотрено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4.8. Информация о наличии или отсутствии в проекте нормативного правового акта обязательных требований: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Предусмотрен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запрет на </w:t>
      </w: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</w:rPr>
        <w:t xml:space="preserve">розничную продажу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безалкогольных тонизирующих напитков (в том числе энергетических)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в зданиях, строениях, сооружениях, помещениях, используемых для непосредственного осуществления деятельности в области культуры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.</w:t>
      </w:r>
      <w:r/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5. Риски решения проблемы предложенным спосо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бом правового регулирования и риски негативных последствий, в том числе для конкуренции, а также описание методов контроля эффективности избранного способа достижения целей регулирования:</w:t>
      </w:r>
      <w:r/>
    </w:p>
    <w:tbl>
      <w:tblPr>
        <w:tblpPr w:horzAnchor="margin" w:tblpXSpec="left" w:vertAnchor="text" w:tblpY="189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1843"/>
        <w:gridCol w:w="48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Риски решения проблемы предложенным способом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 риски негативных пос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ледствий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вероятности наступления рисков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Методы контроля эффективности избранного способа достижения целей регулирования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ind w:right="57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  <w:t xml:space="preserve">Нарушение </w:t>
            </w: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  <w:t xml:space="preserve">запретов и ограничений, установленных законом Белгородской области от30 октября 2014 г. № 311 «О регулировании отдельных вопросов в сфере продажи безалкогольных тонизирующих напитков (в том числе энергетических) на территории Белгородской области» 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  <w:t xml:space="preserve">Н</w:t>
            </w: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  <w:t xml:space="preserve">изкая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Организация и осуществление регионального государственного контроля (надзора) в области продажи безалкогольных тонизирующих напитков (в том числе энергетических) регулируются Федеральным </w:t>
            </w:r>
            <w:hyperlink r:id="rId13" w:tooltip="https://login.consultant.ru/link/?req=doc&amp;base=RZB&amp;n=495001" w:history="1">
              <w:r>
                <w:rPr>
                  <w:rFonts w:ascii="Times New Roman" w:hAnsi="Times New Roman" w:cs="Times New Roman"/>
                  <w:i/>
                  <w:sz w:val="26"/>
                  <w:szCs w:val="26"/>
                </w:rPr>
                <w:t xml:space="preserve">законом</w:t>
              </w:r>
            </w:hyperlink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от 31 июля 2020 г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248-ФЗ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«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 государственном контроле (надзоре) и муниципальном контроле в Российской Федерации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»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6. Необходимые для достижения заявленных целей регулирования организационно-технически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е, методологические, информационные и иные 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мероприятия:*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/>
    </w:p>
    <w:tbl>
      <w:tblPr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1843"/>
        <w:gridCol w:w="2126"/>
        <w:gridCol w:w="1418"/>
        <w:gridCol w:w="1417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Мероприятия, необходимые для достижения целей регулирования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Сроки реализации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ожидаемого результата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финансиро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Источники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финансиро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вания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3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  <w:lang w:eastAsia="en-US"/>
              </w:rPr>
              <w:t xml:space="preserve">Размещение информации в СМИ о принятии закона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  <w:t xml:space="preserve">февраль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  <w:t xml:space="preserve">202</w:t>
            </w: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  <w:t xml:space="preserve">5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  <w:t xml:space="preserve">Осведомленность подконтрольных субъектов о</w:t>
            </w: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  <w:t xml:space="preserve">б</w:t>
            </w: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  <w:t xml:space="preserve">установленных запретах и ограничениях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  <w:t xml:space="preserve">нет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  <w:t xml:space="preserve">нет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3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  <w:lang w:eastAsia="en-US"/>
              </w:rPr>
              <w:t xml:space="preserve">Учет субъектов в государственной информационной </w:t>
            </w: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  <w:lang w:eastAsia="en-US"/>
              </w:rPr>
              <w:t xml:space="preserve">системе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  <w:t xml:space="preserve">постоянно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  <w:t xml:space="preserve">Проведение контрольных (надзорных) </w:t>
            </w: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  <w:t xml:space="preserve">мероприятий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  <w:t xml:space="preserve">нет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  <w:t xml:space="preserve">нет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3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  <w:lang w:eastAsia="en-US"/>
              </w:rPr>
              <w:t xml:space="preserve">Подготовка ежегодного доклада о состоянии регионального государственного надзора (надзора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  <w:t xml:space="preserve">ежегодно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  <w:t xml:space="preserve">Профилактика, минимизация наступления рисков причинения вреда (ущерба)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  <w:t xml:space="preserve">нет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  <w:t xml:space="preserve">нет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3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  <w:lang w:eastAsia="en-US"/>
              </w:rPr>
              <w:t xml:space="preserve">Консультирование (разъяснение по вопросам, связанным с организацией и осуществлением регионального государственного контроля (надзора)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  <w:t xml:space="preserve">по мере необходимости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  <w:t xml:space="preserve">Профилактика, минимизация наступления рисков причинения вреда (ущерба)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  <w:t xml:space="preserve">нет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  <w:t xml:space="preserve">нет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7. Ожидаемые измеримые результаты правового 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регулирования:*</w:t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2126"/>
        <w:gridCol w:w="1984"/>
      </w:tblGrid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Ключевые показатели достижения целей, заявленных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в предложенном регулировании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Количественное значение ключевых показателей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Методы контроля эффективности достижения целей правового регулирования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 оценки достижения ключевых показателей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(не более 5 лет)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Отсутствие жалоб и обращений о несоблюдении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установленных запретов и ограничений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 области продажи </w:t>
            </w: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</w:rPr>
              <w:t xml:space="preserve">безалкогольных тонизирующих напитков (в том числе энергетических)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 зданиях, строениях, сооружениях, помещениях, используемых для непосредственного осуществления деятельности в области культуры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  <w:t xml:space="preserve">Анализ количества выявленных нарушений </w:t>
            </w: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  <w:t xml:space="preserve">запретов и ограничений</w:t>
            </w: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  <w:t xml:space="preserve"> за истекший период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  <w:t xml:space="preserve">январь</w:t>
            </w: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  <w:t xml:space="preserve">6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8. Предполагаемая дата вступления в силу проекта 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закона Белгородской области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: </w:t>
      </w:r>
      <w:r>
        <w:rPr>
          <w:rFonts w:ascii="Times New Roman" w:hAnsi="Times New Roman" w:eastAsia="Calibri" w:cs="Times New Roman"/>
          <w:bCs/>
          <w:i/>
          <w:sz w:val="26"/>
          <w:szCs w:val="26"/>
        </w:rPr>
        <w:t xml:space="preserve">1 марта 2025 года.</w:t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566" w:bottom="39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 w:default="1">
    <w:name w:val="Normal"/>
    <w:qFormat/>
  </w:style>
  <w:style w:type="paragraph" w:styleId="661">
    <w:name w:val="Heading 1"/>
    <w:basedOn w:val="660"/>
    <w:next w:val="660"/>
    <w:link w:val="69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2">
    <w:name w:val="Heading 2"/>
    <w:basedOn w:val="660"/>
    <w:next w:val="660"/>
    <w:link w:val="69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3">
    <w:name w:val="Heading 3"/>
    <w:basedOn w:val="660"/>
    <w:next w:val="660"/>
    <w:link w:val="69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4">
    <w:name w:val="Heading 4"/>
    <w:basedOn w:val="660"/>
    <w:next w:val="660"/>
    <w:link w:val="69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660"/>
    <w:next w:val="660"/>
    <w:link w:val="69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660"/>
    <w:next w:val="660"/>
    <w:link w:val="69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7">
    <w:name w:val="Heading 7"/>
    <w:basedOn w:val="660"/>
    <w:next w:val="660"/>
    <w:link w:val="69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8">
    <w:name w:val="Heading 8"/>
    <w:basedOn w:val="660"/>
    <w:next w:val="660"/>
    <w:link w:val="69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9">
    <w:name w:val="Heading 9"/>
    <w:basedOn w:val="660"/>
    <w:next w:val="660"/>
    <w:link w:val="69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 w:default="1">
    <w:name w:val="Default Paragraph Font"/>
    <w:uiPriority w:val="1"/>
    <w:semiHidden/>
    <w:unhideWhenUsed/>
  </w:style>
  <w:style w:type="table" w:styleId="6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character" w:styleId="673" w:customStyle="1">
    <w:name w:val="Heading 1 Char"/>
    <w:basedOn w:val="670"/>
    <w:uiPriority w:val="9"/>
    <w:rPr>
      <w:rFonts w:ascii="Arial" w:hAnsi="Arial" w:eastAsia="Arial" w:cs="Arial"/>
      <w:sz w:val="40"/>
      <w:szCs w:val="40"/>
    </w:rPr>
  </w:style>
  <w:style w:type="character" w:styleId="674" w:customStyle="1">
    <w:name w:val="Heading 2 Char"/>
    <w:basedOn w:val="670"/>
    <w:uiPriority w:val="9"/>
    <w:rPr>
      <w:rFonts w:ascii="Arial" w:hAnsi="Arial" w:eastAsia="Arial" w:cs="Arial"/>
      <w:sz w:val="34"/>
    </w:rPr>
  </w:style>
  <w:style w:type="character" w:styleId="675" w:customStyle="1">
    <w:name w:val="Heading 3 Char"/>
    <w:basedOn w:val="670"/>
    <w:uiPriority w:val="9"/>
    <w:rPr>
      <w:rFonts w:ascii="Arial" w:hAnsi="Arial" w:eastAsia="Arial" w:cs="Arial"/>
      <w:sz w:val="30"/>
      <w:szCs w:val="30"/>
    </w:rPr>
  </w:style>
  <w:style w:type="character" w:styleId="676" w:customStyle="1">
    <w:name w:val="Heading 4 Char"/>
    <w:basedOn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77" w:customStyle="1">
    <w:name w:val="Heading 5 Char"/>
    <w:basedOn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78" w:customStyle="1">
    <w:name w:val="Heading 6 Char"/>
    <w:basedOn w:val="670"/>
    <w:uiPriority w:val="9"/>
    <w:rPr>
      <w:rFonts w:ascii="Arial" w:hAnsi="Arial" w:eastAsia="Arial" w:cs="Arial"/>
      <w:b/>
      <w:bCs/>
      <w:sz w:val="22"/>
      <w:szCs w:val="22"/>
    </w:rPr>
  </w:style>
  <w:style w:type="character" w:styleId="679" w:customStyle="1">
    <w:name w:val="Heading 7 Char"/>
    <w:basedOn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0" w:customStyle="1">
    <w:name w:val="Heading 8 Char"/>
    <w:basedOn w:val="670"/>
    <w:uiPriority w:val="9"/>
    <w:rPr>
      <w:rFonts w:ascii="Arial" w:hAnsi="Arial" w:eastAsia="Arial" w:cs="Arial"/>
      <w:i/>
      <w:iCs/>
      <w:sz w:val="22"/>
      <w:szCs w:val="22"/>
    </w:rPr>
  </w:style>
  <w:style w:type="character" w:styleId="681" w:customStyle="1">
    <w:name w:val="Heading 9 Char"/>
    <w:basedOn w:val="670"/>
    <w:uiPriority w:val="9"/>
    <w:rPr>
      <w:rFonts w:ascii="Arial" w:hAnsi="Arial" w:eastAsia="Arial" w:cs="Arial"/>
      <w:i/>
      <w:iCs/>
      <w:sz w:val="21"/>
      <w:szCs w:val="21"/>
    </w:rPr>
  </w:style>
  <w:style w:type="character" w:styleId="682" w:customStyle="1">
    <w:name w:val="Title Char"/>
    <w:basedOn w:val="670"/>
    <w:uiPriority w:val="10"/>
    <w:rPr>
      <w:sz w:val="48"/>
      <w:szCs w:val="48"/>
    </w:rPr>
  </w:style>
  <w:style w:type="character" w:styleId="683" w:customStyle="1">
    <w:name w:val="Subtitle Char"/>
    <w:basedOn w:val="670"/>
    <w:uiPriority w:val="11"/>
    <w:rPr>
      <w:sz w:val="24"/>
      <w:szCs w:val="24"/>
    </w:rPr>
  </w:style>
  <w:style w:type="character" w:styleId="684" w:customStyle="1">
    <w:name w:val="Quote Char"/>
    <w:uiPriority w:val="29"/>
    <w:rPr>
      <w:i/>
    </w:rPr>
  </w:style>
  <w:style w:type="character" w:styleId="685" w:customStyle="1">
    <w:name w:val="Intense Quote Char"/>
    <w:uiPriority w:val="30"/>
    <w:rPr>
      <w:i/>
    </w:rPr>
  </w:style>
  <w:style w:type="character" w:styleId="686" w:customStyle="1">
    <w:name w:val="Header Char"/>
    <w:basedOn w:val="670"/>
    <w:uiPriority w:val="99"/>
  </w:style>
  <w:style w:type="character" w:styleId="687" w:customStyle="1">
    <w:name w:val="Caption Char"/>
    <w:uiPriority w:val="99"/>
  </w:style>
  <w:style w:type="character" w:styleId="688" w:customStyle="1">
    <w:name w:val="Footnote Text Char"/>
    <w:uiPriority w:val="99"/>
    <w:rPr>
      <w:sz w:val="18"/>
    </w:rPr>
  </w:style>
  <w:style w:type="character" w:styleId="689" w:customStyle="1">
    <w:name w:val="Endnote Text Char"/>
    <w:uiPriority w:val="99"/>
    <w:rPr>
      <w:sz w:val="20"/>
    </w:rPr>
  </w:style>
  <w:style w:type="character" w:styleId="690" w:customStyle="1">
    <w:name w:val="Заголовок 1 Знак"/>
    <w:basedOn w:val="670"/>
    <w:link w:val="661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basedOn w:val="670"/>
    <w:link w:val="662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70"/>
    <w:link w:val="663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70"/>
    <w:link w:val="664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70"/>
    <w:link w:val="665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70"/>
    <w:link w:val="666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70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7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70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60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spacing w:after="0" w:line="240" w:lineRule="auto"/>
    </w:pPr>
  </w:style>
  <w:style w:type="paragraph" w:styleId="701">
    <w:name w:val="Title"/>
    <w:basedOn w:val="660"/>
    <w:next w:val="660"/>
    <w:link w:val="702"/>
    <w:uiPriority w:val="10"/>
    <w:qFormat/>
    <w:pPr>
      <w:contextualSpacing/>
      <w:spacing w:before="300"/>
    </w:pPr>
    <w:rPr>
      <w:sz w:val="48"/>
      <w:szCs w:val="48"/>
    </w:rPr>
  </w:style>
  <w:style w:type="character" w:styleId="702" w:customStyle="1">
    <w:name w:val="Заголовок Знак"/>
    <w:basedOn w:val="670"/>
    <w:link w:val="701"/>
    <w:uiPriority w:val="10"/>
    <w:rPr>
      <w:sz w:val="48"/>
      <w:szCs w:val="48"/>
    </w:rPr>
  </w:style>
  <w:style w:type="paragraph" w:styleId="703">
    <w:name w:val="Subtitle"/>
    <w:basedOn w:val="660"/>
    <w:next w:val="660"/>
    <w:link w:val="704"/>
    <w:uiPriority w:val="11"/>
    <w:qFormat/>
    <w:pPr>
      <w:spacing w:before="200"/>
    </w:pPr>
    <w:rPr>
      <w:sz w:val="24"/>
      <w:szCs w:val="24"/>
    </w:rPr>
  </w:style>
  <w:style w:type="character" w:styleId="704" w:customStyle="1">
    <w:name w:val="Подзаголовок Знак"/>
    <w:basedOn w:val="670"/>
    <w:link w:val="703"/>
    <w:uiPriority w:val="11"/>
    <w:rPr>
      <w:sz w:val="24"/>
      <w:szCs w:val="24"/>
    </w:rPr>
  </w:style>
  <w:style w:type="paragraph" w:styleId="705">
    <w:name w:val="Quote"/>
    <w:basedOn w:val="660"/>
    <w:next w:val="660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60"/>
    <w:next w:val="660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60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basedOn w:val="670"/>
    <w:link w:val="709"/>
    <w:uiPriority w:val="99"/>
  </w:style>
  <w:style w:type="paragraph" w:styleId="711">
    <w:name w:val="Footer"/>
    <w:basedOn w:val="660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basedOn w:val="670"/>
    <w:uiPriority w:val="99"/>
  </w:style>
  <w:style w:type="paragraph" w:styleId="713">
    <w:name w:val="Caption"/>
    <w:basedOn w:val="660"/>
    <w:next w:val="66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7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6" w:customStyle="1">
    <w:name w:val="Table Grid Light"/>
    <w:basedOn w:val="67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7">
    <w:name w:val="Plain Table 1"/>
    <w:basedOn w:val="67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67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5" w:customStyle="1">
    <w:name w:val="Grid Table 4 - Accent 2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6" w:customStyle="1">
    <w:name w:val="Grid Table 4 - Accent 3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7" w:customStyle="1">
    <w:name w:val="Grid Table 4 - Accent 4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8" w:customStyle="1">
    <w:name w:val="Grid Table 4 - Accent 5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9" w:customStyle="1">
    <w:name w:val="Grid Table 4 - Accent 6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0">
    <w:name w:val="Grid Table 5 Dark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7">
    <w:name w:val="Grid Table 6 Colorful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9" w:customStyle="1">
    <w:name w:val="Grid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0" w:customStyle="1">
    <w:name w:val="Grid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1" w:customStyle="1">
    <w:name w:val="Grid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2" w:customStyle="1">
    <w:name w:val="Grid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3" w:customStyle="1">
    <w:name w:val="Grid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4">
    <w:name w:val="Grid Table 7 Colorful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5" w:customStyle="1">
    <w:name w:val="Grid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6" w:customStyle="1">
    <w:name w:val="Grid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7" w:customStyle="1">
    <w:name w:val="Grid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8" w:customStyle="1">
    <w:name w:val="Grid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9" w:customStyle="1">
    <w:name w:val="Grid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0" w:customStyle="1">
    <w:name w:val="Grid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1">
    <w:name w:val="List Table 1 Light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>
    <w:name w:val="List Table 6 Colorful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8" w:customStyle="1">
    <w:name w:val="List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9" w:customStyle="1">
    <w:name w:val="List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0" w:customStyle="1">
    <w:name w:val="List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1" w:customStyle="1">
    <w:name w:val="List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2" w:customStyle="1">
    <w:name w:val="List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3">
    <w:name w:val="List Table 7 Colorful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4" w:customStyle="1">
    <w:name w:val="List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5" w:customStyle="1">
    <w:name w:val="List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 w:customStyle="1">
    <w:name w:val="List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7" w:customStyle="1">
    <w:name w:val="List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8" w:customStyle="1">
    <w:name w:val="List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9" w:customStyle="1">
    <w:name w:val="List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0" w:customStyle="1">
    <w:name w:val="Lined - Accent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2" w:customStyle="1">
    <w:name w:val="Lined - Accent 2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3" w:customStyle="1">
    <w:name w:val="Lined - Accent 3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4" w:customStyle="1">
    <w:name w:val="Lined - Accent 4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5" w:customStyle="1">
    <w:name w:val="Lined - Accent 5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6" w:customStyle="1">
    <w:name w:val="Lined - Accent 6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7" w:customStyle="1">
    <w:name w:val="Bordered &amp; Lined - Accent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9" w:customStyle="1">
    <w:name w:val="Bordered &amp; Lined - Accent 2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0" w:customStyle="1">
    <w:name w:val="Bordered &amp; Lined - Accent 3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1" w:customStyle="1">
    <w:name w:val="Bordered &amp; Lined - Accent 4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2" w:customStyle="1">
    <w:name w:val="Bordered &amp; Lined - Accent 5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3" w:customStyle="1">
    <w:name w:val="Bordered &amp; Lined - Accent 6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4" w:customStyle="1">
    <w:name w:val="Bordered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6" w:customStyle="1">
    <w:name w:val="Bordered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7" w:customStyle="1">
    <w:name w:val="Bordered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8" w:customStyle="1">
    <w:name w:val="Bordered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9" w:customStyle="1">
    <w:name w:val="Bordered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0" w:customStyle="1">
    <w:name w:val="Bordered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000ff" w:themeColor="hyperlink"/>
      <w:u w:val="single"/>
    </w:rPr>
  </w:style>
  <w:style w:type="paragraph" w:styleId="842">
    <w:name w:val="footnote text"/>
    <w:basedOn w:val="660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basedOn w:val="670"/>
    <w:uiPriority w:val="99"/>
    <w:unhideWhenUsed/>
    <w:rPr>
      <w:vertAlign w:val="superscript"/>
    </w:rPr>
  </w:style>
  <w:style w:type="paragraph" w:styleId="845">
    <w:name w:val="endnote text"/>
    <w:basedOn w:val="660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basedOn w:val="670"/>
    <w:uiPriority w:val="99"/>
    <w:semiHidden/>
    <w:unhideWhenUsed/>
    <w:rPr>
      <w:vertAlign w:val="superscript"/>
    </w:rPr>
  </w:style>
  <w:style w:type="paragraph" w:styleId="848">
    <w:name w:val="toc 1"/>
    <w:basedOn w:val="660"/>
    <w:next w:val="660"/>
    <w:uiPriority w:val="39"/>
    <w:unhideWhenUsed/>
    <w:pPr>
      <w:spacing w:after="57"/>
    </w:pPr>
  </w:style>
  <w:style w:type="paragraph" w:styleId="849">
    <w:name w:val="toc 2"/>
    <w:basedOn w:val="660"/>
    <w:next w:val="660"/>
    <w:uiPriority w:val="39"/>
    <w:unhideWhenUsed/>
    <w:pPr>
      <w:ind w:left="283"/>
      <w:spacing w:after="57"/>
    </w:pPr>
  </w:style>
  <w:style w:type="paragraph" w:styleId="850">
    <w:name w:val="toc 3"/>
    <w:basedOn w:val="660"/>
    <w:next w:val="660"/>
    <w:uiPriority w:val="39"/>
    <w:unhideWhenUsed/>
    <w:pPr>
      <w:ind w:left="567"/>
      <w:spacing w:after="57"/>
    </w:pPr>
  </w:style>
  <w:style w:type="paragraph" w:styleId="851">
    <w:name w:val="toc 4"/>
    <w:basedOn w:val="660"/>
    <w:next w:val="660"/>
    <w:uiPriority w:val="39"/>
    <w:unhideWhenUsed/>
    <w:pPr>
      <w:ind w:left="850"/>
      <w:spacing w:after="57"/>
    </w:pPr>
  </w:style>
  <w:style w:type="paragraph" w:styleId="852">
    <w:name w:val="toc 5"/>
    <w:basedOn w:val="660"/>
    <w:next w:val="660"/>
    <w:uiPriority w:val="39"/>
    <w:unhideWhenUsed/>
    <w:pPr>
      <w:ind w:left="1134"/>
      <w:spacing w:after="57"/>
    </w:pPr>
  </w:style>
  <w:style w:type="paragraph" w:styleId="853">
    <w:name w:val="toc 6"/>
    <w:basedOn w:val="660"/>
    <w:next w:val="660"/>
    <w:uiPriority w:val="39"/>
    <w:unhideWhenUsed/>
    <w:pPr>
      <w:ind w:left="1417"/>
      <w:spacing w:after="57"/>
    </w:pPr>
  </w:style>
  <w:style w:type="paragraph" w:styleId="854">
    <w:name w:val="toc 7"/>
    <w:basedOn w:val="660"/>
    <w:next w:val="660"/>
    <w:uiPriority w:val="39"/>
    <w:unhideWhenUsed/>
    <w:pPr>
      <w:ind w:left="1701"/>
      <w:spacing w:after="57"/>
    </w:pPr>
  </w:style>
  <w:style w:type="paragraph" w:styleId="855">
    <w:name w:val="toc 8"/>
    <w:basedOn w:val="660"/>
    <w:next w:val="660"/>
    <w:uiPriority w:val="39"/>
    <w:unhideWhenUsed/>
    <w:pPr>
      <w:ind w:left="1984"/>
      <w:spacing w:after="57"/>
    </w:pPr>
  </w:style>
  <w:style w:type="paragraph" w:styleId="856">
    <w:name w:val="toc 9"/>
    <w:basedOn w:val="660"/>
    <w:next w:val="660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60"/>
    <w:next w:val="660"/>
    <w:uiPriority w:val="99"/>
    <w:unhideWhenUsed/>
    <w:pPr>
      <w:spacing w:after="0"/>
    </w:pPr>
  </w:style>
  <w:style w:type="paragraph" w:styleId="859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60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61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62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63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64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65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66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67" w:customStyle="1">
    <w:name w:val="Знак"/>
    <w:basedOn w:val="66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68" w:customStyle="1">
    <w:name w:val="Обычный (веб)1"/>
    <w:uiPriority w:val="99"/>
    <w:semiHidden/>
    <w:unhideWhenUsed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9" w:customStyle="1">
    <w:name w:val="Основной текст (2)_"/>
    <w:basedOn w:val="670"/>
    <w:link w:val="87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870" w:customStyle="1">
    <w:name w:val="Основной текст (2)"/>
    <w:basedOn w:val="660"/>
    <w:link w:val="869"/>
    <w:pPr>
      <w:jc w:val="both"/>
      <w:spacing w:after="300" w:line="322" w:lineRule="exact"/>
      <w:shd w:val="clear" w:color="auto" w:fill="ffffff"/>
      <w:widowControl w:val="off"/>
    </w:pPr>
    <w:rPr>
      <w:rFonts w:ascii="Times New Roman" w:hAnsi="Times New Roman" w:eastAsia="Times New Roman" w:cs="Times New Roman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leonuk@belapk.ru" TargetMode="External"/><Relationship Id="rId13" Type="http://schemas.openxmlformats.org/officeDocument/2006/relationships/hyperlink" Target="https://login.consultant.ru/link/?req=doc&amp;base=RZB&amp;n=49500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B1393-8A50-40CD-B1A7-64E29EE3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Сорочинская И. Л.</dc:creator>
  <cp:revision>143</cp:revision>
  <dcterms:created xsi:type="dcterms:W3CDTF">2022-04-27T14:18:00Z</dcterms:created>
  <dcterms:modified xsi:type="dcterms:W3CDTF">2025-01-31T09:13:45Z</dcterms:modified>
</cp:coreProperties>
</file>