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1"/>
        <w:ind w:left="0"/>
        <w:jc w:val="right"/>
        <w:spacing w:after="600" w:line="17" w:lineRule="atLeast"/>
        <w:shd w:val="clear" w:color="ffffff" w:fill="ffffff"/>
        <w:rPr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Arial"/>
          <w:color w:val="010b23"/>
          <w:sz w:val="26"/>
          <w:szCs w:val="26"/>
        </w:rPr>
        <w:t xml:space="preserve">ПРОЕКТ</w:t>
      </w:r>
      <w:r/>
    </w:p>
    <w:p>
      <w:pPr>
        <w:pStyle w:val="671"/>
        <w:ind w:left="0"/>
        <w:jc w:val="center"/>
        <w:spacing w:after="600" w:line="17" w:lineRule="atLeast"/>
        <w:shd w:val="clear" w:color="ffffff" w:fill="ffffff"/>
        <w:rPr>
          <w:sz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</w:rPr>
      </w:r>
      <w:r/>
    </w:p>
    <w:p>
      <w:pPr>
        <w:pStyle w:val="671"/>
        <w:ind w:left="0"/>
        <w:jc w:val="center"/>
        <w:spacing w:after="600" w:line="17" w:lineRule="atLeast"/>
        <w:shd w:val="clear" w:color="ffffff" w:fill="ffffff"/>
        <w:rPr>
          <w:sz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6"/>
        </w:rPr>
      </w:r>
      <w:r/>
    </w:p>
    <w:p>
      <w:pPr>
        <w:rPr>
          <w:b/>
          <w:bCs/>
        </w:rPr>
      </w:pPr>
      <w:r>
        <w:rPr>
          <w:b/>
          <w:bCs/>
        </w:rPr>
      </w:r>
      <w:r/>
    </w:p>
    <w:p>
      <w:pPr>
        <w:rPr>
          <w:b/>
          <w:bCs/>
        </w:rPr>
      </w:pPr>
      <w:r>
        <w:rPr>
          <w:b/>
          <w:bCs/>
        </w:rPr>
      </w:r>
      <w:r/>
    </w:p>
    <w:p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Заключение об экспертизе</w:t>
      </w: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rFonts w:ascii="TimesNewRoman" w:hAnsi="TimesNewRoman" w:eastAsia="TimesNewRoman" w:cs="TimesNewRoman"/>
          <w:sz w:val="26"/>
          <w:szCs w:val="26"/>
        </w:rPr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ия Правительства Белгородской области от 20 марта 2017 года </w:t>
        <w:br/>
        <w:t xml:space="preserve">№ 100-пп 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О мерах по исполнению на территории Белгородской области Федерального закона от 22 мая 2003 года № 54-ФЗ 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О применении контрольно-кассовой техники </w:t>
        <w:br/>
        <w:t xml:space="preserve">при осуществлении 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наличных денежных расчетов и (или) расчетов с использованием электронных средств платежа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»</w:t>
      </w:r>
      <w:r>
        <w:rPr>
          <w:sz w:val="26"/>
          <w:szCs w:val="26"/>
        </w:rPr>
      </w:r>
      <w:r/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ind w:firstLine="708"/>
        <w:jc w:val="both"/>
        <w:rPr>
          <w:rFonts w:eastAsia="Calibri"/>
          <w:b w:val="0"/>
          <w:bCs w:val="0"/>
          <w:color w:val="000000" w:themeColor="text1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Министерством экономического развития и промышленности Белгородской области </w:t>
      </w:r>
      <w:r>
        <w:rPr>
          <w:rFonts w:eastAsia="Calibri"/>
          <w:sz w:val="26"/>
          <w:szCs w:val="26"/>
          <w:lang w:eastAsia="en-US"/>
        </w:rPr>
        <w:t xml:space="preserve">в соответствии с по</w:t>
      </w:r>
      <w:r>
        <w:rPr>
          <w:rFonts w:eastAsia="Calibri"/>
          <w:sz w:val="26"/>
          <w:szCs w:val="26"/>
          <w:lang w:eastAsia="en-US"/>
        </w:rPr>
        <w:t xml:space="preserve">становлением Правительства Белгородской области </w:t>
        <w:br/>
        <w:t xml:space="preserve">от 13 октября 2014 года № 378-пп в рамках Положения о проведении оценки регулирующего воздействия проектов нормативных правовых актов и экспертизы нормативных правовых актов Белгородской области</w:t>
      </w:r>
      <w:r>
        <w:rPr>
          <w:rFonts w:eastAsia="Calibri"/>
          <w:sz w:val="26"/>
          <w:szCs w:val="26"/>
          <w:lang w:eastAsia="en-US"/>
        </w:rPr>
        <w:t xml:space="preserve"> рассмотрено 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ие Правительства Белгородской области от 20 марта 2017 года № 100-пп 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О мерах </w:t>
        <w:br/>
        <w:t xml:space="preserve">по исполнению на территории Белгородской области Федерального закона </w:t>
        <w:br/>
        <w:t xml:space="preserve">от 22 мая 2003 года № 54-ФЗ 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О применении контрольно-кассовой техники </w:t>
        <w:br/>
        <w:t xml:space="preserve">при осуществлении 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наличных денежных расчетов и (или) расчетов с использованием электронных средств платежа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»</w:t>
      </w:r>
      <w:r>
        <w:rPr>
          <w:rFonts w:ascii="Times New Roman" w:hAnsi="Times New Roman" w:eastAsia="TimesNewRoman" w:cs="Times New Roman"/>
          <w:sz w:val="26"/>
          <w:szCs w:val="26"/>
        </w:rPr>
        <w:t xml:space="preserve">, </w:t>
      </w:r>
      <w:r>
        <w:rPr>
          <w:b w:val="0"/>
          <w:bCs w:val="0"/>
          <w:color w:val="000000" w:themeColor="text1"/>
          <w:sz w:val="26"/>
          <w:szCs w:val="26"/>
        </w:rPr>
        <w:t xml:space="preserve">разработанное </w:t>
      </w:r>
      <w:r>
        <w:rPr>
          <w:rFonts w:eastAsia="Arial"/>
          <w:b w:val="0"/>
          <w:bCs w:val="0"/>
          <w:color w:val="000000" w:themeColor="text1"/>
          <w:sz w:val="26"/>
          <w:szCs w:val="26"/>
        </w:rPr>
        <w:t xml:space="preserve">министерством сельского хозяйства </w:t>
        <w:br/>
        <w:t xml:space="preserve">и продовольствия</w:t>
      </w:r>
      <w:r>
        <w:rPr>
          <w:rFonts w:eastAsia="Arial"/>
          <w:b w:val="0"/>
          <w:bCs w:val="0"/>
          <w:color w:val="000000" w:themeColor="text1"/>
          <w:sz w:val="26"/>
          <w:szCs w:val="26"/>
        </w:rPr>
        <w:t xml:space="preserve"> Белгородской области</w:t>
      </w:r>
      <w:r>
        <w:rPr>
          <w:b w:val="0"/>
          <w:bCs w:val="0"/>
          <w:color w:val="000000" w:themeColor="text1"/>
          <w:sz w:val="26"/>
          <w:szCs w:val="26"/>
        </w:rPr>
        <w:t xml:space="preserve">.</w:t>
      </w:r>
      <w:r>
        <w:rPr>
          <w:b w:val="0"/>
          <w:bCs w:val="0"/>
          <w:color w:val="000000" w:themeColor="text1"/>
          <w:sz w:val="26"/>
          <w:szCs w:val="26"/>
        </w:rPr>
      </w:r>
      <w:r/>
    </w:p>
    <w:p>
      <w:pPr>
        <w:ind w:firstLine="708"/>
        <w:jc w:val="both"/>
        <w:rPr>
          <w:sz w:val="26"/>
          <w:szCs w:val="26"/>
        </w:rPr>
      </w:pPr>
      <w:r>
        <w:rPr>
          <w:rFonts w:eastAsia="Calibri"/>
          <w:b/>
          <w:sz w:val="26"/>
          <w:szCs w:val="26"/>
          <w:lang w:eastAsia="en-US"/>
        </w:rPr>
        <w:t xml:space="preserve">1. Настоящее заключение подготовлено</w:t>
      </w:r>
      <w:r>
        <w:rPr>
          <w:rFonts w:eastAsia="Calibri"/>
          <w:sz w:val="26"/>
          <w:szCs w:val="26"/>
          <w:lang w:eastAsia="en-US"/>
        </w:rPr>
        <w:t xml:space="preserve"> впервые.</w:t>
      </w:r>
      <w:r>
        <w:rPr>
          <w:sz w:val="26"/>
          <w:szCs w:val="26"/>
        </w:rPr>
      </w:r>
      <w:r/>
    </w:p>
    <w:p>
      <w:pPr>
        <w:ind w:firstLine="708"/>
        <w:jc w:val="both"/>
        <w:rPr>
          <w:color w:val="000000" w:themeColor="text1"/>
          <w:sz w:val="26"/>
          <w:szCs w:val="26"/>
        </w:rPr>
      </w:pPr>
      <w:r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2. Уполномоченным органом пр</w:t>
      </w:r>
      <w:r>
        <w:rPr>
          <w:rFonts w:eastAsia="Calibri"/>
          <w:b/>
          <w:color w:val="000000" w:themeColor="text1"/>
          <w:sz w:val="26"/>
          <w:szCs w:val="26"/>
          <w:lang w:eastAsia="en-US"/>
        </w:rPr>
        <w:t xml:space="preserve">оведены публичные консультации в сроки</w:t>
      </w:r>
      <w:r>
        <w:rPr>
          <w:rFonts w:eastAsia="Calibri"/>
          <w:color w:val="000000" w:themeColor="text1"/>
          <w:sz w:val="26"/>
          <w:szCs w:val="26"/>
          <w:lang w:eastAsia="en-US"/>
        </w:rPr>
        <w:t xml:space="preserve">: </w:t>
      </w:r>
      <w:r>
        <w:rPr>
          <w:rFonts w:eastAsia="Calibri"/>
          <w:color w:val="000000" w:themeColor="text1"/>
          <w:sz w:val="26"/>
          <w:szCs w:val="26"/>
          <w:lang w:eastAsia="en-US"/>
        </w:rPr>
        <w:br/>
        <w:t xml:space="preserve">с 29 мая по 26 июня 2026 года.</w:t>
      </w:r>
      <w:r>
        <w:rPr>
          <w:sz w:val="26"/>
          <w:szCs w:val="26"/>
        </w:rPr>
      </w:r>
      <w:r/>
    </w:p>
    <w:p>
      <w:pPr>
        <w:ind w:left="0" w:right="0" w:firstLine="708"/>
        <w:jc w:val="both"/>
        <w:spacing w:before="0" w:after="0" w:afterAutospacing="0" w:line="240" w:lineRule="auto"/>
        <w:shd w:val="clear" w:color="ffffff" w:fill="ffffff"/>
        <w:rPr>
          <w:rFonts w:ascii="Times New Roman" w:hAnsi="Times New Roman" w:cs="Times New Roman"/>
          <w:color w:val="000000"/>
          <w:sz w:val="26"/>
          <w:szCs w:val="26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Calibri"/>
          <w:sz w:val="26"/>
          <w:szCs w:val="26"/>
          <w:highlight w:val="none"/>
          <w:lang w:eastAsia="en-US"/>
        </w:rPr>
        <w:t xml:space="preserve">В ходе проведения публичных консультаций участие в обсуждении 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ия Правительства Белгородской области от 20 марта 2017 года</w:t>
      </w:r>
      <w:r>
        <w:rPr>
          <w:rFonts w:eastAsia="Calibri"/>
          <w:color w:val="000000" w:themeColor="text1"/>
          <w:sz w:val="26"/>
          <w:szCs w:val="26"/>
          <w:highlight w:val="none"/>
          <w:lang w:eastAsia="en-US"/>
        </w:rPr>
        <w:t xml:space="preserve"> приняли: Уполномоченный </w:t>
        <w:br/>
        <w:t xml:space="preserve">по защите прав предпринимателей в Белгородской области, Союз «Торгово-промышленная палата Белгородской области».</w:t>
      </w:r>
      <w:r>
        <w:rPr>
          <w:sz w:val="26"/>
          <w:szCs w:val="26"/>
        </w:rPr>
      </w:r>
      <w:r/>
    </w:p>
    <w:p>
      <w:pPr>
        <w:ind w:firstLine="708"/>
        <w:jc w:val="both"/>
        <w:rPr>
          <w:sz w:val="26"/>
          <w:szCs w:val="26"/>
        </w:rPr>
      </w:pPr>
      <w:r>
        <w:rPr>
          <w:rFonts w:eastAsia="Calibri"/>
          <w:color w:val="000000" w:themeColor="text1"/>
          <w:sz w:val="26"/>
          <w:szCs w:val="26"/>
          <w:lang w:eastAsia="en-US"/>
        </w:rPr>
        <w:t xml:space="preserve">Поступило 12 предложений и замечаний. Отзывы участников и комментарии разработчика приведены в сводке предложений.</w:t>
      </w:r>
      <w:r>
        <w:rPr>
          <w:sz w:val="26"/>
          <w:szCs w:val="26"/>
        </w:rPr>
      </w:r>
      <w:r/>
    </w:p>
    <w:p>
      <w:pPr>
        <w:ind w:firstLine="709"/>
        <w:jc w:val="both"/>
        <w:rPr>
          <w:rFonts w:eastAsia="Calibri"/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3. Информация об экспертизе нормативного правового акта размещена уполномоченным органом на официальном сайте в сети Интернет</w:t>
      </w:r>
      <w:r>
        <w:rPr>
          <w:b/>
          <w:bCs/>
          <w:sz w:val="26"/>
          <w:szCs w:val="26"/>
        </w:rPr>
        <w:t xml:space="preserve"> </w:t>
      </w:r>
      <w:r>
        <w:rPr>
          <w:rFonts w:eastAsia="Calibri"/>
          <w:b/>
          <w:bCs/>
          <w:sz w:val="26"/>
          <w:szCs w:val="26"/>
          <w:lang w:eastAsia="en-US"/>
        </w:rPr>
        <w:t xml:space="preserve">на сайте: </w:t>
      </w:r>
      <w:r>
        <w:rPr>
          <w:rFonts w:eastAsia="Calibri"/>
          <w:sz w:val="26"/>
          <w:szCs w:val="26"/>
          <w:lang w:eastAsia="en-US"/>
        </w:rPr>
        <w:t xml:space="preserve">министерства экономического ра</w:t>
      </w:r>
      <w:r>
        <w:rPr>
          <w:rFonts w:eastAsia="Calibri"/>
          <w:sz w:val="26"/>
          <w:szCs w:val="26"/>
          <w:lang w:eastAsia="en-US"/>
        </w:rPr>
        <w:t xml:space="preserve">звития и промышленности Белгородской области (</w:t>
      </w:r>
      <w:r>
        <w:rPr>
          <w:rFonts w:eastAsia="Calibri"/>
          <w:sz w:val="26"/>
          <w:szCs w:val="26"/>
          <w:lang w:eastAsia="en-US"/>
        </w:rPr>
        <w:t xml:space="preserve">h</w:t>
      </w:r>
      <w:r>
        <w:rPr>
          <w:rFonts w:eastAsia="Calibri"/>
          <w:sz w:val="26"/>
          <w:szCs w:val="26"/>
          <w:lang w:eastAsia="en-US"/>
        </w:rPr>
        <w:t xml:space="preserve">ttps://minecprom.belregion.ru/documents/ekspertiza-postanovleniya-pravitelstva-belgorodskoj-oblasti-ot-20-marta-2017-goda-100-pp-o-merah-po-ispolneniyu-na-territorii-belgorodskoj-oblasti-federalnogo-zakona-ot-22-maya-2003-goda-54-fz-o-primenenii-kontrolno-</w:t>
      </w:r>
      <w:r>
        <w:rPr>
          <w:rFonts w:eastAsia="Calibri"/>
          <w:sz w:val="26"/>
          <w:szCs w:val="26"/>
          <w:lang w:eastAsia="en-US"/>
        </w:rPr>
        <w:t xml:space="preserve">kassovoj-tehniki-p6-osushestvlenii-nal</w:t>
      </w:r>
      <w:r>
        <w:rPr>
          <w:rFonts w:eastAsia="Calibri"/>
          <w:sz w:val="26"/>
          <w:szCs w:val="26"/>
          <w:lang w:eastAsia="en-US"/>
        </w:rPr>
        <w:t xml:space="preserve">) </w:t>
        <w:br/>
        <w:t xml:space="preserve">и Инвестиционном портале Белгородской области (</w:t>
      </w:r>
      <w:r>
        <w:rPr>
          <w:rFonts w:eastAsia="Calibri"/>
          <w:sz w:val="26"/>
          <w:szCs w:val="26"/>
          <w:lang w:eastAsia="en-US"/>
        </w:rPr>
        <w:t xml:space="preserve">https://belgorodinvest.com/docs/otsenka-reguliruyushchego-vozdeystviya/#tab-201</w:t>
      </w:r>
      <w:r>
        <w:rPr>
          <w:rFonts w:eastAsia="Calibri"/>
          <w:sz w:val="26"/>
          <w:szCs w:val="26"/>
          <w:lang w:eastAsia="en-US"/>
        </w:rPr>
        <w:t xml:space="preserve">).  </w:t>
      </w:r>
      <w:r>
        <w:rPr>
          <w:sz w:val="26"/>
          <w:szCs w:val="26"/>
        </w:rPr>
      </w:r>
      <w:r/>
    </w:p>
    <w:p>
      <w:pPr>
        <w:ind w:firstLine="708"/>
        <w:jc w:val="both"/>
        <w:widowControl w:val="off"/>
        <w:rPr>
          <w:sz w:val="26"/>
          <w:szCs w:val="26"/>
        </w:rPr>
      </w:pPr>
      <w:r>
        <w:rPr>
          <w:b/>
          <w:sz w:val="26"/>
          <w:szCs w:val="26"/>
        </w:rPr>
        <w:t xml:space="preserve">4. На основе проведенной экспертизы нормативного правового акта </w:t>
      </w:r>
      <w:r>
        <w:rPr>
          <w:b/>
          <w:sz w:val="26"/>
          <w:szCs w:val="26"/>
        </w:rPr>
        <w:t xml:space="preserve">с учетом информации сделаны следующие выводы:</w:t>
      </w:r>
      <w:r>
        <w:rPr>
          <w:sz w:val="26"/>
          <w:szCs w:val="26"/>
        </w:rPr>
      </w:r>
      <w:r/>
    </w:p>
    <w:p>
      <w:pPr>
        <w:pStyle w:val="88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ием Правительства Белгородской области от 20 марта 2017 года</w:t>
      </w:r>
      <w:r>
        <w:rPr>
          <w:rFonts w:ascii="Times New Roman" w:hAnsi="Times New Roman" w:eastAsia="TimesNewRoman" w:cs="Times New Roman"/>
          <w:sz w:val="26"/>
          <w:szCs w:val="26"/>
        </w:rPr>
        <w:t xml:space="preserve"> утверждены: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88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New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bookmarkStart w:id="18" w:name="P18"/>
      <w:r>
        <w:rPr>
          <w:rFonts w:ascii="Times New Roman" w:hAnsi="Times New Roman" w:cs="Times New Roman"/>
          <w:sz w:val="26"/>
          <w:szCs w:val="26"/>
        </w:rPr>
      </w:r>
      <w:bookmarkEnd w:id="18"/>
      <w:r>
        <w:rPr>
          <w:rFonts w:ascii="Times New Roman" w:hAnsi="Times New Roman" w:cs="Times New Roman"/>
          <w:sz w:val="26"/>
          <w:szCs w:val="26"/>
        </w:rPr>
        <w:t xml:space="preserve">1) </w:t>
      </w:r>
      <w:r>
        <w:rPr>
          <w:rFonts w:ascii="Times New Roman" w:hAnsi="Times New Roman" w:cs="Times New Roman"/>
          <w:sz w:val="26"/>
          <w:szCs w:val="26"/>
        </w:rPr>
        <w:t xml:space="preserve">перечень</w:t>
      </w:r>
      <w:r>
        <w:rPr>
          <w:rFonts w:ascii="Times New Roman" w:hAnsi="Times New Roman" w:cs="Times New Roman"/>
          <w:sz w:val="26"/>
          <w:szCs w:val="26"/>
        </w:rPr>
        <w:t xml:space="preserve"> местностей Б</w:t>
      </w:r>
      <w:r>
        <w:rPr>
          <w:rFonts w:ascii="Times New Roman" w:hAnsi="Times New Roman" w:cs="Times New Roman"/>
          <w:sz w:val="26"/>
          <w:szCs w:val="26"/>
        </w:rPr>
        <w:t xml:space="preserve">ел</w:t>
      </w:r>
      <w:r>
        <w:rPr>
          <w:rFonts w:ascii="Times New Roman" w:hAnsi="Times New Roman" w:cs="Times New Roman"/>
          <w:sz w:val="26"/>
          <w:szCs w:val="26"/>
        </w:rPr>
        <w:t xml:space="preserve">городской области, удаленных от сетей связи, </w:t>
        <w:br/>
        <w:t xml:space="preserve">где пользователи могут применять контрольно-кассовую технику в режиме, </w:t>
        <w:br/>
        <w:t xml:space="preserve">не предусматривающем обязательную передачу фискальных документов в налоговые органы в электронной форме через оператора фискальных данных;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88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>
        <w:rPr>
          <w:rFonts w:ascii="Times New Roman" w:hAnsi="Times New Roman" w:cs="Times New Roman"/>
          <w:sz w:val="26"/>
          <w:szCs w:val="26"/>
        </w:rPr>
        <w:t xml:space="preserve">ассортимент</w:t>
      </w:r>
      <w:r>
        <w:rPr>
          <w:rFonts w:ascii="Times New Roman" w:hAnsi="Times New Roman" w:cs="Times New Roman"/>
          <w:sz w:val="26"/>
          <w:szCs w:val="26"/>
        </w:rPr>
        <w:t xml:space="preserve"> сопутствующих товаров в газетно-журнальных киосках, продажа которых производится без применения контрольно-кассовой техники при условии, </w:t>
        <w:br/>
        <w:t xml:space="preserve">что доля продажи газет и журналов в товарообороте составляет не менее 50 процентов;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883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>
        <w:rPr>
          <w:rFonts w:ascii="Times New Roman" w:hAnsi="Times New Roman" w:cs="Times New Roman"/>
          <w:sz w:val="26"/>
          <w:szCs w:val="26"/>
        </w:rPr>
        <w:t xml:space="preserve">перечень</w:t>
      </w:r>
      <w:r>
        <w:rPr>
          <w:rFonts w:ascii="Times New Roman" w:hAnsi="Times New Roman" w:cs="Times New Roman"/>
          <w:sz w:val="26"/>
          <w:szCs w:val="26"/>
        </w:rPr>
        <w:t xml:space="preserve"> отдаленных и труднодоступных местностей (за исключением городов, районных центров, поселков городского типа) на территории Белгородской области, </w:t>
        <w:br/>
        <w:t xml:space="preserve">в которых организации и индивидуальные предприниматели при осущест</w:t>
      </w:r>
      <w:r>
        <w:rPr>
          <w:rFonts w:ascii="Times New Roman" w:hAnsi="Times New Roman" w:cs="Times New Roman"/>
          <w:sz w:val="26"/>
          <w:szCs w:val="26"/>
        </w:rPr>
        <w:t xml:space="preserve">влении расчетов вправе не применять контрольно-кассовую технику при условии выдачи покупателю (клиенту) по его требованию документа, подтверждающего факт осуществления расчета между организацией или индивидуальным предпринимателем и покупателем (клиентом).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numPr>
          <w:ilvl w:val="0"/>
          <w:numId w:val="0"/>
        </w:numPr>
        <w:ind w:firstLine="708"/>
        <w:jc w:val="both"/>
        <w:rPr>
          <w:rFonts w:hint="default" w:ascii="Times New Roman" w:hAnsi="Times New Roman" w:cs="Times New Roman"/>
          <w:color w:val="auto"/>
          <w:lang w:val="ru-RU"/>
        </w:rPr>
      </w:pPr>
      <w:r>
        <w:rPr>
          <w:sz w:val="26"/>
          <w:szCs w:val="26"/>
          <w:highlight w:val="none"/>
        </w:rPr>
        <w:t xml:space="preserve">Целью нормативного правового регулирования является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highlight w:val="none"/>
          <w:lang w:val="ru-RU"/>
        </w:rPr>
        <w:t xml:space="preserve">создание условий </w:t>
        <w:br/>
        <w:t xml:space="preserve">для развития торговой деятельности организациями и индивидуальными предпринимателями на территории Белгородской области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color="auto" w:fill="ffffff"/>
          <w:lang w:val="en-US" w:eastAsia="zh-CN" w:bidi="ar"/>
        </w:rPr>
        <w:t xml:space="preserve">с учетом специфики деятельности и особенностей их местонахождения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color="auto" w:fill="ffffff"/>
          <w:lang w:val="ru-RU" w:eastAsia="zh-CN" w:bidi="ar"/>
        </w:rPr>
        <w:t xml:space="preserve">.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</w:r>
      <w:r/>
    </w:p>
    <w:p>
      <w:pPr>
        <w:numPr>
          <w:ilvl w:val="0"/>
          <w:numId w:val="0"/>
        </w:numPr>
        <w:ind w:firstLine="708"/>
        <w:jc w:val="both"/>
        <w:rPr>
          <w:rFonts w:hint="default" w:ascii="Times New Roman" w:hAnsi="Times New Roman" w:cs="Times New Roman"/>
          <w:color w:val="auto"/>
          <w:highlight w:val="none"/>
          <w:lang w:val="ru-RU"/>
        </w:rPr>
      </w:pPr>
      <w:r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  <w:t xml:space="preserve">В настоящее время на территории Белгородской области в отдаленных </w:t>
        <w:br/>
        <w:t xml:space="preserve">и малочисленных населенных пунктах осуществляют деятельность порядка 450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highlight w:val="none"/>
          <w:lang w:val="ru-RU"/>
        </w:rPr>
        <w:t xml:space="preserve">юридических лиц и индивидуальных предпринимателей.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highlight w:val="none"/>
          <w:lang w:val="ru-RU"/>
        </w:rPr>
      </w:r>
      <w:r/>
    </w:p>
    <w:p>
      <w:pPr>
        <w:numPr>
          <w:ilvl w:val="0"/>
          <w:numId w:val="0"/>
        </w:numPr>
        <w:ind w:firstLine="708"/>
        <w:jc w:val="both"/>
        <w:rPr>
          <w:rFonts w:hint="default" w:ascii="Times New Roman" w:hAnsi="Times New Roman" w:cs="Times New Roman"/>
          <w:color w:val="auto"/>
          <w:lang w:val="ru-RU"/>
        </w:rPr>
      </w:pPr>
      <w:r>
        <w:rPr>
          <w:rFonts w:hint="default" w:ascii="Times New Roman" w:hAnsi="Times New Roman" w:eastAsia="SimSun" w:cs="Times New Roman"/>
          <w:sz w:val="26"/>
          <w:szCs w:val="26"/>
          <w:lang w:val="ru-RU" w:eastAsia="zh-CN" w:bidi="ar"/>
        </w:rPr>
        <w:t xml:space="preserve">Установленные нормы правового регулирования, по мнению разработчика, </w:t>
      </w:r>
      <w:r>
        <w:rPr>
          <w:rFonts w:hint="default" w:ascii="Times New Roman" w:hAnsi="Times New Roman" w:eastAsia="SimSun" w:cs="Times New Roman"/>
          <w:sz w:val="26"/>
          <w:szCs w:val="26"/>
          <w:lang w:val="en-US" w:eastAsia="zh-CN" w:bidi="ar"/>
        </w:rPr>
        <w:t xml:space="preserve">позволи</w:t>
      </w:r>
      <w:r>
        <w:rPr>
          <w:rFonts w:hint="default" w:ascii="Times New Roman" w:hAnsi="Times New Roman" w:eastAsia="SimSun" w:cs="Times New Roman"/>
          <w:sz w:val="26"/>
          <w:szCs w:val="26"/>
          <w:lang w:val="ru-RU" w:eastAsia="zh-CN" w:bidi="ar"/>
        </w:rPr>
        <w:t xml:space="preserve">ли</w:t>
      </w:r>
      <w:r>
        <w:rPr>
          <w:rFonts w:hint="default" w:ascii="Times New Roman" w:hAnsi="Times New Roman" w:eastAsia="SimSun" w:cs="Times New Roman"/>
          <w:sz w:val="26"/>
          <w:szCs w:val="26"/>
          <w:lang w:val="en-US" w:eastAsia="zh-CN" w:bidi="ar"/>
        </w:rPr>
        <w:t xml:space="preserve"> создать благоприятные условия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highlight w:val="none"/>
          <w:lang w:val="ru-RU"/>
        </w:rPr>
        <w:t xml:space="preserve">для развития торговой деятельности с</w:t>
      </w:r>
      <w:r>
        <w:rPr>
          <w:rFonts w:hint="default" w:ascii="Times New Roman" w:hAnsi="Times New Roman" w:eastAsia="SimSun" w:cs="Times New Roman"/>
          <w:sz w:val="26"/>
          <w:szCs w:val="26"/>
          <w:lang w:val="en-US" w:eastAsia="zh-CN" w:bidi="ar"/>
        </w:rPr>
        <w:t xml:space="preserve">убъект</w:t>
      </w:r>
      <w:r>
        <w:rPr>
          <w:rFonts w:hint="default" w:ascii="Times New Roman" w:hAnsi="Times New Roman" w:eastAsia="SimSun" w:cs="Times New Roman"/>
          <w:sz w:val="26"/>
          <w:szCs w:val="26"/>
          <w:lang w:val="ru-RU" w:eastAsia="zh-CN" w:bidi="ar"/>
        </w:rPr>
        <w:t xml:space="preserve">ам</w:t>
      </w:r>
      <w:r>
        <w:rPr>
          <w:rFonts w:hint="default" w:ascii="Times New Roman" w:hAnsi="Times New Roman" w:eastAsia="SimSun" w:cs="Times New Roman"/>
          <w:sz w:val="26"/>
          <w:szCs w:val="26"/>
          <w:lang w:val="en-US" w:eastAsia="zh-CN" w:bidi="ar"/>
        </w:rPr>
        <w:t xml:space="preserve"> малого и среднего предпринимательства области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color="auto" w:fill="ffffff"/>
          <w:lang w:val="en-US" w:eastAsia="zh-CN" w:bidi="ar"/>
        </w:rPr>
        <w:t xml:space="preserve">с учетом специфики </w:t>
        <w:br/>
        <w:t xml:space="preserve">их деятельности и особенностей местонахождения</w:t>
      </w:r>
      <w:r>
        <w:rPr>
          <w:rFonts w:hint="default" w:ascii="Times New Roman" w:hAnsi="Times New Roman" w:eastAsia="sans-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color="auto" w:fill="ffffff"/>
          <w:lang w:val="ru-RU" w:eastAsia="zh-CN" w:bidi="ar"/>
        </w:rPr>
        <w:t xml:space="preserve">, а также сохранить защиту прав всех участников.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</w:r>
      <w:r/>
    </w:p>
    <w:p>
      <w:pPr>
        <w:ind w:left="0" w:right="0" w:firstLine="560"/>
        <w:jc w:val="both"/>
        <w:keepLines w:val="0"/>
        <w:keepNext w:val="0"/>
        <w:pageBreakBefore w:val="0"/>
        <w:spacing w:before="0" w:beforeAutospacing="0" w:after="28" w:afterAutospacing="0" w:line="240" w:lineRule="auto"/>
        <w:shd w:val="clear" w:color="ffffff" w:fill="ffffff"/>
        <w:widowControl/>
        <w:rPr>
          <w:color w:val="000000" w:themeColor="text1"/>
          <w:sz w:val="26"/>
          <w:szCs w:val="26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color w:val="000000" w:themeColor="text1"/>
          <w:sz w:val="26"/>
          <w:szCs w:val="26"/>
          <w:highlight w:val="none"/>
        </w:rPr>
        <w:t xml:space="preserve">По итогам публичных консультаций в рамках экспертизы 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6"/>
          <w:szCs w:val="26"/>
        </w:rPr>
        <w:t xml:space="preserve">постановлен</w:t>
      </w:r>
      <w:r>
        <w:rPr>
          <w:rFonts w:ascii="Times New Roman" w:hAnsi="Times New Roman" w:eastAsia="Segoe UI" w:cs="Times New Roman"/>
          <w:color w:val="000000" w:themeColor="text1"/>
          <w:spacing w:val="-4"/>
          <w:sz w:val="26"/>
          <w:szCs w:val="26"/>
        </w:rPr>
        <w:t xml:space="preserve">ия Правительства Белгородской области от 20 марта 2017 года № 100-пп</w:t>
      </w:r>
      <w:r>
        <w:rPr>
          <w:color w:val="000000" w:themeColor="text1"/>
          <w:sz w:val="26"/>
          <w:szCs w:val="26"/>
          <w:highlight w:val="none"/>
        </w:rPr>
        <w:t xml:space="preserve">, </w:t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none"/>
        </w:rPr>
        <w:t xml:space="preserve">предложения участников обсуждения учтены разработчиком в части концептуального подхода (сохранение льгот для отдалённых и приграничных территорий).</w:t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color w:val="000000" w:themeColor="text1"/>
          <w:sz w:val="26"/>
          <w:szCs w:val="26"/>
        </w:rPr>
      </w:r>
      <w:bookmarkStart w:id="0" w:name="_GoBack"/>
      <w:r>
        <w:rPr>
          <w:color w:val="000000" w:themeColor="text1"/>
          <w:sz w:val="26"/>
          <w:szCs w:val="26"/>
        </w:rPr>
      </w:r>
      <w:bookmarkEnd w:id="0"/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none"/>
        </w:rPr>
        <w:t xml:space="preserve">Вместе с тем, отдельные предложения (по изменению перечня сопутствующих товаров, объединению двух перечней, автоматическому обновлению на основе данных </w:t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none"/>
          <w:lang w:val="ru-RU"/>
        </w:rPr>
        <w:t xml:space="preserve">м</w:t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none"/>
        </w:rPr>
        <w:t xml:space="preserve">ин</w:t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none"/>
          <w:lang w:val="ru-RU"/>
        </w:rPr>
        <w:t xml:space="preserve">истерства</w:t>
      </w:r>
      <w:r>
        <w:rPr>
          <w:rFonts w:hint="default" w:ascii="Times New Roman" w:hAnsi="Times New Roman" w:eastAsia="Liberation Sans" w:cs="Times New Roman"/>
          <w:color w:val="000000" w:themeColor="text1"/>
          <w:sz w:val="26"/>
          <w:szCs w:val="26"/>
          <w:highlight w:val="none"/>
          <w:lang w:val="ru-RU"/>
        </w:rPr>
        <w:t xml:space="preserve"> цифрового развития области</w:t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none"/>
        </w:rPr>
        <w:t xml:space="preserve">) не могут быть реализованы в ввиду их несоответствия требованиям Федерального закона № 54-ФЗ и установленному порядку ведения региональных перечней.</w:t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none"/>
        </w:rPr>
      </w:r>
      <w:r/>
    </w:p>
    <w:p>
      <w:pPr>
        <w:pStyle w:val="884"/>
        <w:ind w:left="0" w:right="0" w:firstLine="556"/>
        <w:jc w:val="both"/>
        <w:keepLines w:val="0"/>
        <w:keepNext w:val="0"/>
        <w:pageBreakBefore w:val="0"/>
        <w:spacing w:before="0" w:beforeAutospacing="0" w:after="0" w:afterAutospacing="0" w:line="240" w:lineRule="auto"/>
        <w:widowControl/>
        <w:rPr>
          <w:rFonts w:hint="default" w:ascii="Times New Roman" w:hAnsi="Times New Roman" w:cs="Times New Roman"/>
          <w:sz w:val="26"/>
          <w:szCs w:val="26"/>
          <w:lang w:val="ru-RU"/>
        </w:rPr>
        <w:suppressLineNumbers w:val="0"/>
      </w:pPr>
      <w:r>
        <w:rPr>
          <w:rFonts w:eastAsia="Calibri"/>
          <w:b w:val="0"/>
          <w:bCs w:val="0"/>
          <w:sz w:val="26"/>
          <w:szCs w:val="26"/>
          <w:lang w:eastAsia="en-US"/>
        </w:rPr>
        <w:t xml:space="preserve">В результате анализа материалов, предоставленных органом-разработчиком, </w:t>
      </w:r>
      <w:r>
        <w:rPr>
          <w:rFonts w:eastAsia="Calibri"/>
          <w:b w:val="0"/>
          <w:bCs w:val="0"/>
          <w:sz w:val="26"/>
          <w:szCs w:val="26"/>
          <w:lang w:eastAsia="en-US"/>
        </w:rPr>
        <w:br/>
        <w:t xml:space="preserve">а также предложений, полученных по итогам публичных </w:t>
      </w:r>
      <w:r>
        <w:rPr>
          <w:rFonts w:eastAsia="Calibri"/>
          <w:b w:val="0"/>
          <w:bCs w:val="0"/>
          <w:sz w:val="26"/>
          <w:szCs w:val="26"/>
          <w:lang w:eastAsia="en-US"/>
        </w:rPr>
        <w:t xml:space="preserve">обсуждений,</w:t>
      </w:r>
      <w:r>
        <w:rPr>
          <w:rFonts w:ascii="Calibri" w:hAnsi="Calibri" w:eastAsia="Calibri"/>
          <w:b w:val="0"/>
          <w:bCs w:val="0"/>
          <w:sz w:val="26"/>
          <w:szCs w:val="26"/>
          <w:lang w:eastAsia="en-US"/>
        </w:rPr>
        <w:t xml:space="preserve"> </w:t>
      </w:r>
      <w:r>
        <w:rPr>
          <w:rFonts w:eastAsia="Calibri"/>
          <w:b w:val="0"/>
          <w:bCs w:val="0"/>
          <w:sz w:val="26"/>
          <w:szCs w:val="26"/>
          <w:lang w:eastAsia="en-US"/>
        </w:rPr>
        <w:t xml:space="preserve">министерство экономического развития и промышленности области пришло к выводу, </w:t>
        <w:br/>
        <w:t xml:space="preserve">что установленные постановлением нормы актуальны, однако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в связи с сложившейся </w:t>
        <w:br/>
        <w:t xml:space="preserve">на территории Белгородской области оперативной обстановкой,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учитывая высокую социальную значимость бесперебойного обеспечения граждан товарами первой необходимости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в условиях действующего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6"/>
          <w:szCs w:val="26"/>
          <w:lang w:val="ru-RU"/>
        </w:rPr>
        <w:t xml:space="preserve">режима</w:t>
      </w:r>
      <w:r>
        <w:rPr>
          <w:rFonts w:ascii="Times New Roman" w:hAnsi="Times New Roman" w:eastAsia="Open Sans" w:cs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Open Sans" w:cs="Times New Roman"/>
          <w:color w:val="000000"/>
          <w:sz w:val="26"/>
          <w:szCs w:val="26"/>
          <w:highlight w:val="white"/>
        </w:rPr>
        <w:t xml:space="preserve">чрезвычайной ситуации (ЧС)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требуется актуализация:</w:t>
      </w:r>
      <w:r>
        <w:rPr>
          <w:rFonts w:hint="default" w:ascii="Times New Roman" w:hAnsi="Times New Roman" w:cs="Times New Roman"/>
          <w:lang w:val="ru-RU"/>
        </w:rPr>
      </w:r>
      <w:r/>
    </w:p>
    <w:p>
      <w:pPr>
        <w:pStyle w:val="884"/>
        <w:ind w:left="0" w:right="0" w:firstLine="556"/>
        <w:jc w:val="both"/>
        <w:keepLines w:val="0"/>
        <w:keepNext w:val="0"/>
        <w:pageBreakBefore w:val="0"/>
        <w:spacing w:before="0" w:beforeAutospacing="0" w:after="0" w:afterAutospacing="0" w:line="240" w:lineRule="auto"/>
        <w:widowControl/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highlight w:val="none"/>
          <w:lang w:val="ru-RU"/>
        </w:rPr>
        <w:suppressLineNumbers w:val="0"/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- 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</w:rPr>
        <w:t xml:space="preserve">переч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  <w:lang w:val="ru-RU"/>
        </w:rPr>
        <w:t xml:space="preserve">ня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</w:rPr>
        <w:t xml:space="preserve"> 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  <w:lang w:val="ru-RU"/>
        </w:rPr>
        <w:t xml:space="preserve">местностей Белгородской области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</w:rPr>
        <w:t xml:space="preserve">,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  <w:lang w:val="ru-RU"/>
        </w:rPr>
        <w:t xml:space="preserve"> удаленных от сетей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color w:val="auto"/>
          <w:sz w:val="26"/>
          <w:szCs w:val="26"/>
          <w:highlight w:val="none"/>
          <w:lang w:val="ru-RU"/>
        </w:rPr>
        <w:t xml:space="preserve">связи, </w:t>
        <w:br/>
        <w:t xml:space="preserve">где пользователи могут применять контрольно-кассовую технику в режиме, </w:t>
        <w:br/>
        <w:t xml:space="preserve">не предусматривающем обязательную передачу фискальных документов в налоговые органы и оператору информационных систем маркировки в электронной форме через оператора фискальных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highlight w:val="none"/>
          <w:lang w:val="ru-RU"/>
        </w:rPr>
        <w:t xml:space="preserve">данных;</w:t>
      </w:r>
      <w:r>
        <w:rPr>
          <w:rFonts w:hint="default" w:ascii="Times New Roman" w:hAnsi="Times New Roman" w:cs="Times New Roman"/>
          <w:lang w:val="ru-RU"/>
        </w:rPr>
      </w:r>
      <w:r/>
    </w:p>
    <w:p>
      <w:pPr>
        <w:pStyle w:val="884"/>
        <w:ind w:left="0" w:right="0" w:firstLine="556"/>
        <w:jc w:val="both"/>
        <w:keepLines w:val="0"/>
        <w:keepNext w:val="0"/>
        <w:pageBreakBefore w:val="0"/>
        <w:spacing w:before="0" w:beforeAutospacing="0" w:after="0" w:afterAutospacing="0" w:line="240" w:lineRule="auto"/>
        <w:widowControl/>
        <w:rPr>
          <w:rFonts w:hint="default" w:ascii="Times New Roman" w:hAnsi="Times New Roman" w:cs="Times New Roman"/>
          <w:lang w:val="ru-RU"/>
        </w:rPr>
        <w:suppressLineNumbers w:val="0"/>
      </w:pP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highlight w:val="none"/>
          <w:lang w:val="ru-RU"/>
        </w:rPr>
        <w:t xml:space="preserve">-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6"/>
          <w:szCs w:val="26"/>
          <w:highlight w:val="none"/>
        </w:rPr>
        <w:t xml:space="preserve">перечн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6"/>
          <w:szCs w:val="26"/>
          <w:highlight w:val="none"/>
          <w:lang w:val="ru-RU"/>
        </w:rPr>
        <w:t xml:space="preserve">я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6"/>
          <w:szCs w:val="26"/>
          <w:highlight w:val="none"/>
        </w:rPr>
        <w:t xml:space="preserve"> отдаленных и труднодоступных местностей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highlight w:val="none"/>
          <w:lang w:val="ru-RU"/>
        </w:rPr>
        <w:t xml:space="preserve">(</w:t>
      </w:r>
      <w:r>
        <w:rPr>
          <w:rFonts w:hint="default" w:ascii="Times New Roman" w:hAnsi="Times New Roman" w:eastAsia="PT 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color="auto" w:fill="ffffff"/>
          <w:lang w:val="en-US" w:eastAsia="zh-CN" w:bidi="ar"/>
        </w:rPr>
        <w:t xml:space="preserve">за исключением городов, районных центров (кроме административных центров муниципальных районов, являющихся единственным населенным пунктом муниципального района)</w:t>
      </w:r>
      <w:r>
        <w:rPr>
          <w:rFonts w:hint="default" w:ascii="Times New Roman" w:hAnsi="Times New Roman" w:eastAsia="PT 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PT 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color="auto" w:fill="ffffff"/>
          <w:lang w:val="en-US" w:eastAsia="zh-CN" w:bidi="ar"/>
        </w:rPr>
        <w:t xml:space="preserve">поселков городского типа)</w:t>
      </w:r>
      <w:r>
        <w:rPr>
          <w:rFonts w:hint="default" w:ascii="Times New Roman" w:hAnsi="Times New Roman" w:eastAsia="PT Serif" w:cs="Times New Roman"/>
          <w:b w:val="0"/>
          <w:bCs w:val="0"/>
          <w:i w:val="0"/>
          <w:iCs w:val="0"/>
          <w:caps w:val="0"/>
          <w:color w:val="auto"/>
          <w:spacing w:val="0"/>
          <w:sz w:val="26"/>
          <w:szCs w:val="26"/>
          <w:shd w:val="clear" w:color="auto" w:fill="ffffff"/>
          <w:lang w:val="ru-RU" w:eastAsia="zh-CN" w:bidi="a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6"/>
          <w:szCs w:val="26"/>
          <w:highlight w:val="none"/>
        </w:rPr>
        <w:t xml:space="preserve">на территории Белгородской области, в которых организации </w:t>
        <w:br/>
        <w:t xml:space="preserve">и индивидуальные предприниматели при осуществлении расчетов вправе не применять контрольно-кассовую технику</w:t>
      </w:r>
      <w:r>
        <w:rPr>
          <w:rFonts w:hint="default" w:ascii="Times New Roman" w:hAnsi="Times New Roman" w:cs="Times New Roman"/>
          <w:b w:val="0"/>
          <w:bCs w:val="0"/>
          <w:color w:val="auto"/>
          <w:spacing w:val="-4"/>
          <w:sz w:val="26"/>
          <w:szCs w:val="26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при условии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выдачи покупателю (клиенту) </w:t>
        <w:br/>
        <w:t xml:space="preserve">по его требованию документа, подтверждающего факт осуществления расчета между организацией или индивидуальным предпринимателем и покупателем (клиентом)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 xml:space="preserve">.</w:t>
      </w:r>
      <w:r/>
    </w:p>
    <w:p>
      <w:pPr>
        <w:ind w:firstLine="720"/>
        <w:jc w:val="both"/>
        <w:rPr>
          <w:rFonts w:eastAsia="Arial"/>
          <w:color w:val="000000" w:themeColor="text1"/>
          <w:spacing w:val="1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Учитывая вышеизложенное, по итогам проведенной экспертизы, министерство экономическ</w:t>
      </w:r>
      <w:r>
        <w:rPr>
          <w:rFonts w:eastAsia="Calibri"/>
          <w:sz w:val="26"/>
          <w:szCs w:val="26"/>
          <w:lang w:eastAsia="en-US"/>
        </w:rPr>
        <w:t xml:space="preserve">ого развития и промышленности области считает целесообразным </w:t>
        <w:br/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в постановлен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ие Правительства Белгородской области от 20 марта 2017 года </w:t>
        <w:br/>
        <w:t xml:space="preserve">№ 100-пп 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О мерах по исполнению на территории Белгородской области Федерального закона от 22 мая 2003 года № 54-ФЗ 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«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О применении контрольно-кассовой техники </w:t>
        <w:br/>
        <w:t xml:space="preserve">при осуществлении </w:t>
      </w:r>
      <w:r>
        <w:rPr>
          <w:rFonts w:ascii="Times New Roman" w:hAnsi="Times New Roman" w:eastAsia="Segoe UI" w:cs="Times New Roman"/>
          <w:color w:val="000000"/>
          <w:spacing w:val="-4"/>
          <w:sz w:val="26"/>
          <w:szCs w:val="26"/>
        </w:rPr>
        <w:t xml:space="preserve">наличных денежных расчетов и (или) расчетов с использованием электронных средств платежа</w:t>
      </w:r>
      <w:r>
        <w:rPr>
          <w:rFonts w:ascii="Times New Roman" w:hAnsi="Times New Roman" w:eastAsia="TimesNewRoman" w:cs="Times New Roman"/>
          <w:color w:val="000000"/>
          <w:sz w:val="26"/>
          <w:szCs w:val="26"/>
        </w:rPr>
        <w:t xml:space="preserve">»</w:t>
      </w:r>
      <w:r>
        <w:rPr>
          <w:rFonts w:eastAsia="Calibri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внести соответствующие изменения.</w:t>
      </w:r>
      <w:r>
        <w:rPr>
          <w:sz w:val="26"/>
          <w:szCs w:val="26"/>
        </w:rPr>
      </w:r>
      <w:r/>
    </w:p>
    <w:p>
      <w:pPr>
        <w:ind w:firstLine="72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>
        <w:rPr>
          <w:sz w:val="26"/>
          <w:szCs w:val="26"/>
        </w:rPr>
      </w:r>
      <w:r/>
    </w:p>
    <w:p>
      <w:pPr>
        <w:ind w:firstLine="72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  <w:r>
        <w:rPr>
          <w:sz w:val="26"/>
          <w:szCs w:val="26"/>
        </w:rPr>
      </w:r>
      <w:r/>
    </w:p>
    <w:p>
      <w:pPr>
        <w:pStyle w:val="877"/>
        <w:ind w:firstLine="709"/>
        <w:jc w:val="both"/>
        <w:spacing w:line="24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/>
    </w:p>
    <w:p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lang w:val="en-US"/>
        </w:rPr>
      </w:r>
      <w:r>
        <w:rPr>
          <w:sz w:val="26"/>
          <w:szCs w:val="26"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709" w:left="1418" w:header="567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ans-serif">
    <w:panose1 w:val="020B0606020202030204"/>
  </w:font>
  <w:font w:name="TimesNewRoman">
    <w:panose1 w:val="02020603050405020304"/>
  </w:font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PT Serif">
    <w:panose1 w:val="020A0603040505020204"/>
  </w:font>
  <w:font w:name="Courier New">
    <w:panose1 w:val="02070309020205020404"/>
  </w:font>
  <w:font w:name="Open Sans">
    <w:panose1 w:val="020B0606030504020204"/>
  </w:font>
  <w:font w:name="SimSun">
    <w:panose1 w:val="02000506000000020000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502158951"/>
      <w:docPartObj>
        <w:docPartGallery w:val="Page Numbers (Top of Page)"/>
        <w:docPartUnique w:val="true"/>
      </w:docPartObj>
      <w:rPr/>
    </w:sdtPr>
    <w:sdtContent>
      <w:p>
        <w:pPr>
          <w:pStyle w:val="87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671">
    <w:name w:val="Heading 1"/>
    <w:basedOn w:val="670"/>
    <w:next w:val="670"/>
    <w:link w:val="872"/>
    <w:qFormat/>
    <w:pPr>
      <w:ind w:left="1094"/>
      <w:keepNext/>
      <w:spacing w:line="302" w:lineRule="exact"/>
      <w:shd w:val="clear" w:color="auto" w:fill="ffffff"/>
      <w:widowControl w:val="off"/>
      <w:outlineLvl w:val="0"/>
    </w:pPr>
    <w:rPr>
      <w:b/>
      <w:bCs/>
      <w:color w:val="000000"/>
      <w:spacing w:val="-4"/>
      <w:szCs w:val="26"/>
    </w:rPr>
  </w:style>
  <w:style w:type="paragraph" w:styleId="672">
    <w:name w:val="Heading 2"/>
    <w:basedOn w:val="670"/>
    <w:next w:val="670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3">
    <w:name w:val="Heading 3"/>
    <w:basedOn w:val="670"/>
    <w:next w:val="670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4">
    <w:name w:val="Heading 4"/>
    <w:basedOn w:val="670"/>
    <w:next w:val="670"/>
    <w:link w:val="70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5">
    <w:name w:val="Heading 5"/>
    <w:basedOn w:val="670"/>
    <w:next w:val="670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paragraph" w:styleId="676">
    <w:name w:val="Heading 6"/>
    <w:basedOn w:val="670"/>
    <w:next w:val="670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670"/>
    <w:next w:val="670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670"/>
    <w:next w:val="670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670"/>
    <w:next w:val="670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character" w:styleId="683" w:customStyle="1">
    <w:name w:val="Heading 2 Char"/>
    <w:basedOn w:val="680"/>
    <w:uiPriority w:val="9"/>
    <w:rPr>
      <w:rFonts w:ascii="Arial" w:hAnsi="Arial" w:eastAsia="Arial" w:cs="Arial"/>
      <w:sz w:val="34"/>
    </w:rPr>
  </w:style>
  <w:style w:type="character" w:styleId="684" w:customStyle="1">
    <w:name w:val="Heading 3 Char"/>
    <w:basedOn w:val="680"/>
    <w:uiPriority w:val="9"/>
    <w:rPr>
      <w:rFonts w:ascii="Arial" w:hAnsi="Arial" w:eastAsia="Arial" w:cs="Arial"/>
      <w:sz w:val="30"/>
      <w:szCs w:val="30"/>
    </w:rPr>
  </w:style>
  <w:style w:type="character" w:styleId="685" w:customStyle="1">
    <w:name w:val="Heading 4 Char"/>
    <w:basedOn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686" w:customStyle="1">
    <w:name w:val="Heading 5 Char"/>
    <w:basedOn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687" w:customStyle="1">
    <w:name w:val="Heading 6 Char"/>
    <w:basedOn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688" w:customStyle="1">
    <w:name w:val="Heading 7 Char"/>
    <w:basedOn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9" w:customStyle="1">
    <w:name w:val="Heading 8 Char"/>
    <w:basedOn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0" w:customStyle="1">
    <w:name w:val="Heading 9 Char"/>
    <w:basedOn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91" w:customStyle="1">
    <w:name w:val="Title Char"/>
    <w:basedOn w:val="680"/>
    <w:uiPriority w:val="10"/>
    <w:rPr>
      <w:sz w:val="48"/>
      <w:szCs w:val="48"/>
    </w:rPr>
  </w:style>
  <w:style w:type="character" w:styleId="692" w:customStyle="1">
    <w:name w:val="Subtitle Char"/>
    <w:basedOn w:val="680"/>
    <w:uiPriority w:val="11"/>
    <w:rPr>
      <w:sz w:val="24"/>
      <w:szCs w:val="24"/>
    </w:rPr>
  </w:style>
  <w:style w:type="character" w:styleId="693" w:customStyle="1">
    <w:name w:val="Quote Char"/>
    <w:uiPriority w:val="29"/>
    <w:rPr>
      <w:i/>
    </w:rPr>
  </w:style>
  <w:style w:type="character" w:styleId="694" w:customStyle="1">
    <w:name w:val="Intense Quote Char"/>
    <w:uiPriority w:val="30"/>
    <w:rPr>
      <w:i/>
    </w:rPr>
  </w:style>
  <w:style w:type="character" w:styleId="695" w:customStyle="1">
    <w:name w:val="Footnote Text Char"/>
    <w:uiPriority w:val="99"/>
    <w:rPr>
      <w:sz w:val="18"/>
    </w:rPr>
  </w:style>
  <w:style w:type="character" w:styleId="696" w:customStyle="1">
    <w:name w:val="Endnote Text Char"/>
    <w:uiPriority w:val="99"/>
    <w:rPr>
      <w:sz w:val="20"/>
    </w:rPr>
  </w:style>
  <w:style w:type="character" w:styleId="697" w:customStyle="1">
    <w:name w:val="Heading 1 Char"/>
    <w:basedOn w:val="680"/>
    <w:uiPriority w:val="9"/>
    <w:rPr>
      <w:rFonts w:ascii="Arial" w:hAnsi="Arial" w:eastAsia="Arial" w:cs="Arial"/>
      <w:sz w:val="40"/>
      <w:szCs w:val="40"/>
    </w:rPr>
  </w:style>
  <w:style w:type="character" w:styleId="698" w:customStyle="1">
    <w:name w:val="Заголовок 2 Знак"/>
    <w:basedOn w:val="680"/>
    <w:link w:val="672"/>
    <w:uiPriority w:val="9"/>
    <w:rPr>
      <w:rFonts w:ascii="Arial" w:hAnsi="Arial" w:eastAsia="Arial" w:cs="Arial"/>
      <w:sz w:val="34"/>
    </w:rPr>
  </w:style>
  <w:style w:type="character" w:styleId="699" w:customStyle="1">
    <w:name w:val="Заголовок 3 Знак"/>
    <w:basedOn w:val="680"/>
    <w:link w:val="673"/>
    <w:uiPriority w:val="9"/>
    <w:rPr>
      <w:rFonts w:ascii="Arial" w:hAnsi="Arial" w:eastAsia="Arial" w:cs="Arial"/>
      <w:sz w:val="30"/>
      <w:szCs w:val="30"/>
    </w:rPr>
  </w:style>
  <w:style w:type="character" w:styleId="700" w:customStyle="1">
    <w:name w:val="Заголовок 4 Знак"/>
    <w:basedOn w:val="680"/>
    <w:link w:val="674"/>
    <w:uiPriority w:val="9"/>
    <w:rPr>
      <w:rFonts w:ascii="Arial" w:hAnsi="Arial" w:eastAsia="Arial" w:cs="Arial"/>
      <w:b/>
      <w:bCs/>
      <w:sz w:val="26"/>
      <w:szCs w:val="26"/>
    </w:rPr>
  </w:style>
  <w:style w:type="character" w:styleId="701" w:customStyle="1">
    <w:name w:val="Заголовок 5 Знак"/>
    <w:basedOn w:val="680"/>
    <w:link w:val="675"/>
    <w:uiPriority w:val="9"/>
    <w:rPr>
      <w:rFonts w:ascii="Arial" w:hAnsi="Arial" w:eastAsia="Arial" w:cs="Arial"/>
      <w:b/>
      <w:bCs/>
      <w:sz w:val="24"/>
      <w:szCs w:val="24"/>
    </w:rPr>
  </w:style>
  <w:style w:type="character" w:styleId="702" w:customStyle="1">
    <w:name w:val="Заголовок 6 Знак"/>
    <w:basedOn w:val="680"/>
    <w:link w:val="676"/>
    <w:uiPriority w:val="9"/>
    <w:rPr>
      <w:rFonts w:ascii="Arial" w:hAnsi="Arial" w:eastAsia="Arial" w:cs="Arial"/>
      <w:b/>
      <w:bCs/>
      <w:sz w:val="22"/>
      <w:szCs w:val="22"/>
    </w:rPr>
  </w:style>
  <w:style w:type="character" w:styleId="703" w:customStyle="1">
    <w:name w:val="Заголовок 7 Знак"/>
    <w:basedOn w:val="680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4" w:customStyle="1">
    <w:name w:val="Заголовок 8 Знак"/>
    <w:basedOn w:val="680"/>
    <w:link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705" w:customStyle="1">
    <w:name w:val="Заголовок 9 Знак"/>
    <w:basedOn w:val="680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List Paragraph"/>
    <w:basedOn w:val="670"/>
    <w:uiPriority w:val="34"/>
    <w:qFormat/>
    <w:pPr>
      <w:contextualSpacing/>
      <w:ind w:left="720"/>
    </w:pPr>
  </w:style>
  <w:style w:type="paragraph" w:styleId="707">
    <w:name w:val="Title"/>
    <w:basedOn w:val="670"/>
    <w:next w:val="670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 w:customStyle="1">
    <w:name w:val="Название Знак"/>
    <w:basedOn w:val="680"/>
    <w:link w:val="707"/>
    <w:uiPriority w:val="10"/>
    <w:rPr>
      <w:sz w:val="48"/>
      <w:szCs w:val="48"/>
    </w:rPr>
  </w:style>
  <w:style w:type="paragraph" w:styleId="709">
    <w:name w:val="Subtitle"/>
    <w:basedOn w:val="670"/>
    <w:next w:val="670"/>
    <w:link w:val="710"/>
    <w:uiPriority w:val="11"/>
    <w:qFormat/>
    <w:pPr>
      <w:spacing w:before="200" w:after="200"/>
    </w:pPr>
    <w:rPr>
      <w:sz w:val="24"/>
    </w:rPr>
  </w:style>
  <w:style w:type="character" w:styleId="710" w:customStyle="1">
    <w:name w:val="Подзаголовок Знак"/>
    <w:basedOn w:val="680"/>
    <w:link w:val="709"/>
    <w:uiPriority w:val="11"/>
    <w:rPr>
      <w:sz w:val="24"/>
      <w:szCs w:val="24"/>
    </w:rPr>
  </w:style>
  <w:style w:type="paragraph" w:styleId="711">
    <w:name w:val="Quote"/>
    <w:basedOn w:val="670"/>
    <w:next w:val="670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70"/>
    <w:next w:val="670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character" w:styleId="715" w:customStyle="1">
    <w:name w:val="Header Char"/>
    <w:basedOn w:val="680"/>
    <w:uiPriority w:val="99"/>
  </w:style>
  <w:style w:type="character" w:styleId="716" w:customStyle="1">
    <w:name w:val="Footer Char"/>
    <w:basedOn w:val="680"/>
    <w:uiPriority w:val="99"/>
  </w:style>
  <w:style w:type="paragraph" w:styleId="717">
    <w:name w:val="Caption"/>
    <w:basedOn w:val="670"/>
    <w:next w:val="67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8" w:customStyle="1">
    <w:name w:val="Caption Char"/>
    <w:uiPriority w:val="99"/>
  </w:style>
  <w:style w:type="table" w:styleId="719" w:customStyle="1">
    <w:name w:val="Table Grid Light"/>
    <w:basedOn w:val="68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0">
    <w:name w:val="Plain Table 1"/>
    <w:basedOn w:val="68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68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 w:customStyle="1">
    <w:name w:val="Grid Table 4 - Accent 1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8" w:customStyle="1">
    <w:name w:val="Grid Table 4 - Accent 2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9" w:customStyle="1">
    <w:name w:val="Grid Table 4 - Accent 3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0" w:customStyle="1">
    <w:name w:val="Grid Table 4 - Accent 4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1" w:customStyle="1">
    <w:name w:val="Grid Table 4 - Accent 5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2" w:customStyle="1">
    <w:name w:val="Grid Table 4 - Accent 6"/>
    <w:basedOn w:val="68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3">
    <w:name w:val="Grid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0">
    <w:name w:val="Grid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1" w:customStyle="1">
    <w:name w:val="Grid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2" w:customStyle="1">
    <w:name w:val="Grid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3" w:customStyle="1">
    <w:name w:val="Grid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4" w:customStyle="1">
    <w:name w:val="Grid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5" w:customStyle="1">
    <w:name w:val="Grid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6" w:customStyle="1">
    <w:name w:val="Grid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7">
    <w:name w:val="Grid Table 7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8" w:customStyle="1">
    <w:name w:val="Grid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9" w:customStyle="1">
    <w:name w:val="Grid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0" w:customStyle="1">
    <w:name w:val="Grid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Grid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Grid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3" w:customStyle="1">
    <w:name w:val="Grid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4">
    <w:name w:val="List Table 1 Light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1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2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3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4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5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6"/>
    <w:basedOn w:val="68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>
    <w:name w:val="List Table 6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0" w:customStyle="1">
    <w:name w:val="List Table 6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1" w:customStyle="1">
    <w:name w:val="List Table 6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2" w:customStyle="1">
    <w:name w:val="List Table 6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3" w:customStyle="1">
    <w:name w:val="List Table 6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4" w:customStyle="1">
    <w:name w:val="List Table 6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5" w:customStyle="1">
    <w:name w:val="List Table 6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6">
    <w:name w:val="List Table 7 Colorful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7" w:customStyle="1">
    <w:name w:val="List Table 7 Colorful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8" w:customStyle="1">
    <w:name w:val="List Table 7 Colorful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9" w:customStyle="1">
    <w:name w:val="List Table 7 Colorful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0" w:customStyle="1">
    <w:name w:val="List Table 7 Colorful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1" w:customStyle="1">
    <w:name w:val="List Table 7 Colorful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2" w:customStyle="1">
    <w:name w:val="List Table 7 Colorful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3" w:customStyle="1">
    <w:name w:val="Lined - Accent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Lined - Accent 1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5" w:customStyle="1">
    <w:name w:val="Lined - Accent 2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6" w:customStyle="1">
    <w:name w:val="Lined - Accent 3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7" w:customStyle="1">
    <w:name w:val="Lined - Accent 4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8" w:customStyle="1">
    <w:name w:val="Lined - Accent 5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9" w:customStyle="1">
    <w:name w:val="Lined - Accent 6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0" w:customStyle="1">
    <w:name w:val="Bordered &amp; Lined - Accent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1" w:customStyle="1">
    <w:name w:val="Bordered &amp; Lined - Accent 1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2" w:customStyle="1">
    <w:name w:val="Bordered &amp; Lined - Accent 2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3" w:customStyle="1">
    <w:name w:val="Bordered &amp; Lined - Accent 3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4" w:customStyle="1">
    <w:name w:val="Bordered &amp; Lined - Accent 4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5" w:customStyle="1">
    <w:name w:val="Bordered &amp; Lined - Accent 5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6" w:customStyle="1">
    <w:name w:val="Bordered &amp; Lined - Accent 6"/>
    <w:basedOn w:val="68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7" w:customStyle="1">
    <w:name w:val="Bordered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8" w:customStyle="1">
    <w:name w:val="Bordered - Accent 1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9" w:customStyle="1">
    <w:name w:val="Bordered - Accent 2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0" w:customStyle="1">
    <w:name w:val="Bordered - Accent 3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1" w:customStyle="1">
    <w:name w:val="Bordered - Accent 4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2" w:customStyle="1">
    <w:name w:val="Bordered - Accent 5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3" w:customStyle="1">
    <w:name w:val="Bordered - Accent 6"/>
    <w:basedOn w:val="68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4">
    <w:name w:val="footnote text"/>
    <w:basedOn w:val="670"/>
    <w:link w:val="845"/>
    <w:uiPriority w:val="99"/>
    <w:semiHidden/>
    <w:unhideWhenUsed/>
    <w:pPr>
      <w:spacing w:after="40"/>
    </w:pPr>
    <w:rPr>
      <w:sz w:val="18"/>
    </w:rPr>
  </w:style>
  <w:style w:type="character" w:styleId="845" w:customStyle="1">
    <w:name w:val="Текст сноски Знак"/>
    <w:link w:val="844"/>
    <w:uiPriority w:val="99"/>
    <w:rPr>
      <w:sz w:val="18"/>
    </w:rPr>
  </w:style>
  <w:style w:type="character" w:styleId="846">
    <w:name w:val="footnote reference"/>
    <w:basedOn w:val="680"/>
    <w:uiPriority w:val="99"/>
    <w:unhideWhenUsed/>
    <w:rPr>
      <w:vertAlign w:val="superscript"/>
    </w:rPr>
  </w:style>
  <w:style w:type="paragraph" w:styleId="847">
    <w:name w:val="endnote text"/>
    <w:basedOn w:val="670"/>
    <w:link w:val="848"/>
    <w:uiPriority w:val="99"/>
    <w:semiHidden/>
    <w:unhideWhenUsed/>
    <w:rPr>
      <w:sz w:val="20"/>
    </w:rPr>
  </w:style>
  <w:style w:type="character" w:styleId="848" w:customStyle="1">
    <w:name w:val="Текст концевой сноски Знак"/>
    <w:link w:val="847"/>
    <w:uiPriority w:val="99"/>
    <w:rPr>
      <w:sz w:val="20"/>
    </w:rPr>
  </w:style>
  <w:style w:type="character" w:styleId="849">
    <w:name w:val="endnote reference"/>
    <w:basedOn w:val="680"/>
    <w:uiPriority w:val="99"/>
    <w:semiHidden/>
    <w:unhideWhenUsed/>
    <w:rPr>
      <w:vertAlign w:val="superscript"/>
    </w:rPr>
  </w:style>
  <w:style w:type="paragraph" w:styleId="850">
    <w:name w:val="toc 1"/>
    <w:basedOn w:val="670"/>
    <w:next w:val="670"/>
    <w:uiPriority w:val="39"/>
    <w:unhideWhenUsed/>
    <w:pPr>
      <w:spacing w:after="57"/>
    </w:pPr>
  </w:style>
  <w:style w:type="paragraph" w:styleId="851">
    <w:name w:val="toc 2"/>
    <w:basedOn w:val="670"/>
    <w:next w:val="670"/>
    <w:uiPriority w:val="39"/>
    <w:unhideWhenUsed/>
    <w:pPr>
      <w:ind w:left="283"/>
      <w:spacing w:after="57"/>
    </w:pPr>
  </w:style>
  <w:style w:type="paragraph" w:styleId="852">
    <w:name w:val="toc 3"/>
    <w:basedOn w:val="670"/>
    <w:next w:val="670"/>
    <w:uiPriority w:val="39"/>
    <w:unhideWhenUsed/>
    <w:pPr>
      <w:ind w:left="567"/>
      <w:spacing w:after="57"/>
    </w:pPr>
  </w:style>
  <w:style w:type="paragraph" w:styleId="853">
    <w:name w:val="toc 4"/>
    <w:basedOn w:val="670"/>
    <w:next w:val="670"/>
    <w:uiPriority w:val="39"/>
    <w:unhideWhenUsed/>
    <w:pPr>
      <w:ind w:left="850"/>
      <w:spacing w:after="57"/>
    </w:pPr>
  </w:style>
  <w:style w:type="paragraph" w:styleId="854">
    <w:name w:val="toc 5"/>
    <w:basedOn w:val="670"/>
    <w:next w:val="670"/>
    <w:uiPriority w:val="39"/>
    <w:unhideWhenUsed/>
    <w:pPr>
      <w:ind w:left="1134"/>
      <w:spacing w:after="57"/>
    </w:pPr>
  </w:style>
  <w:style w:type="paragraph" w:styleId="855">
    <w:name w:val="toc 6"/>
    <w:basedOn w:val="670"/>
    <w:next w:val="670"/>
    <w:uiPriority w:val="39"/>
    <w:unhideWhenUsed/>
    <w:pPr>
      <w:ind w:left="1417"/>
      <w:spacing w:after="57"/>
    </w:pPr>
  </w:style>
  <w:style w:type="paragraph" w:styleId="856">
    <w:name w:val="toc 7"/>
    <w:basedOn w:val="670"/>
    <w:next w:val="670"/>
    <w:uiPriority w:val="39"/>
    <w:unhideWhenUsed/>
    <w:pPr>
      <w:ind w:left="1701"/>
      <w:spacing w:after="57"/>
    </w:pPr>
  </w:style>
  <w:style w:type="paragraph" w:styleId="857">
    <w:name w:val="toc 8"/>
    <w:basedOn w:val="670"/>
    <w:next w:val="670"/>
    <w:uiPriority w:val="39"/>
    <w:unhideWhenUsed/>
    <w:pPr>
      <w:ind w:left="1984"/>
      <w:spacing w:after="57"/>
    </w:pPr>
  </w:style>
  <w:style w:type="paragraph" w:styleId="858">
    <w:name w:val="toc 9"/>
    <w:basedOn w:val="670"/>
    <w:next w:val="670"/>
    <w:uiPriority w:val="39"/>
    <w:unhideWhenUsed/>
    <w:pPr>
      <w:ind w:left="2268"/>
      <w:spacing w:after="57"/>
    </w:pPr>
  </w:style>
  <w:style w:type="paragraph" w:styleId="859">
    <w:name w:val="TOC Heading"/>
    <w:uiPriority w:val="39"/>
    <w:unhideWhenUsed/>
  </w:style>
  <w:style w:type="paragraph" w:styleId="860">
    <w:name w:val="table of figures"/>
    <w:basedOn w:val="670"/>
    <w:next w:val="670"/>
    <w:uiPriority w:val="99"/>
    <w:unhideWhenUsed/>
  </w:style>
  <w:style w:type="character" w:styleId="861">
    <w:name w:val="Hyperlink"/>
    <w:unhideWhenUsed/>
    <w:rPr>
      <w:color w:val="0000ff"/>
      <w:u w:val="single"/>
    </w:rPr>
  </w:style>
  <w:style w:type="paragraph" w:styleId="862">
    <w:name w:val="Balloon Text"/>
    <w:basedOn w:val="670"/>
    <w:link w:val="86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3" w:customStyle="1">
    <w:name w:val="Текст выноски Знак"/>
    <w:basedOn w:val="680"/>
    <w:link w:val="86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64">
    <w:name w:val="Body Text"/>
    <w:basedOn w:val="670"/>
    <w:link w:val="865"/>
    <w:pPr>
      <w:jc w:val="center"/>
    </w:pPr>
    <w:rPr>
      <w:b/>
      <w:bCs/>
      <w:caps/>
    </w:rPr>
  </w:style>
  <w:style w:type="character" w:styleId="865" w:customStyle="1">
    <w:name w:val="Основной текст Знак"/>
    <w:basedOn w:val="680"/>
    <w:link w:val="864"/>
    <w:rPr>
      <w:rFonts w:ascii="Times New Roman" w:hAnsi="Times New Roman" w:eastAsia="Times New Roman" w:cs="Times New Roman"/>
      <w:b/>
      <w:bCs/>
      <w:caps/>
      <w:sz w:val="28"/>
      <w:szCs w:val="24"/>
      <w:lang w:eastAsia="ru-RU"/>
    </w:rPr>
  </w:style>
  <w:style w:type="character" w:styleId="866">
    <w:name w:val="annotation reference"/>
    <w:basedOn w:val="680"/>
    <w:uiPriority w:val="99"/>
    <w:semiHidden/>
    <w:unhideWhenUsed/>
    <w:rPr>
      <w:sz w:val="16"/>
      <w:szCs w:val="16"/>
    </w:rPr>
  </w:style>
  <w:style w:type="paragraph" w:styleId="867">
    <w:name w:val="annotation text"/>
    <w:basedOn w:val="670"/>
    <w:link w:val="868"/>
    <w:uiPriority w:val="99"/>
    <w:semiHidden/>
    <w:unhideWhenUsed/>
    <w:rPr>
      <w:sz w:val="20"/>
      <w:szCs w:val="20"/>
    </w:rPr>
  </w:style>
  <w:style w:type="character" w:styleId="868" w:customStyle="1">
    <w:name w:val="Текст примечания Знак"/>
    <w:basedOn w:val="680"/>
    <w:link w:val="86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9">
    <w:name w:val="annotation subject"/>
    <w:basedOn w:val="867"/>
    <w:next w:val="867"/>
    <w:link w:val="870"/>
    <w:uiPriority w:val="99"/>
    <w:semiHidden/>
    <w:unhideWhenUsed/>
    <w:rPr>
      <w:b/>
      <w:bCs/>
    </w:rPr>
  </w:style>
  <w:style w:type="character" w:styleId="870" w:customStyle="1">
    <w:name w:val="Тема примечания Знак"/>
    <w:basedOn w:val="868"/>
    <w:link w:val="869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table" w:styleId="871">
    <w:name w:val="Table Grid"/>
    <w:basedOn w:val="68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2" w:customStyle="1">
    <w:name w:val="Заголовок 1 Знак"/>
    <w:basedOn w:val="680"/>
    <w:link w:val="671"/>
    <w:rPr>
      <w:rFonts w:ascii="Times New Roman" w:hAnsi="Times New Roman" w:eastAsia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873">
    <w:name w:val="Header"/>
    <w:basedOn w:val="670"/>
    <w:link w:val="8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4" w:customStyle="1">
    <w:name w:val="Верхний колонтитул Знак"/>
    <w:basedOn w:val="680"/>
    <w:link w:val="873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75">
    <w:name w:val="Footer"/>
    <w:basedOn w:val="670"/>
    <w:link w:val="87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680"/>
    <w:link w:val="875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77" w:customStyle="1">
    <w:name w:val="Style5"/>
    <w:basedOn w:val="670"/>
    <w:pPr>
      <w:ind w:hanging="346"/>
      <w:spacing w:line="317" w:lineRule="exact"/>
      <w:widowControl w:val="off"/>
    </w:pPr>
    <w:rPr>
      <w:sz w:val="24"/>
    </w:rPr>
  </w:style>
  <w:style w:type="paragraph" w:styleId="878">
    <w:name w:val="No Spacing"/>
    <w:link w:val="879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79" w:customStyle="1">
    <w:name w:val="Без интервала Знак"/>
    <w:link w:val="878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0" w:customStyle="1">
    <w:name w:val="pt-a"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1" w:customStyle="1">
    <w:name w:val="Основной текст1"/>
    <w:pPr>
      <w:ind w:firstLine="400"/>
      <w:jc w:val="both"/>
      <w:spacing w:after="0" w:line="276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6"/>
      <w:szCs w:val="26"/>
    </w:rPr>
  </w:style>
  <w:style w:type="paragraph" w:styleId="882" w:customStyle="1">
    <w:name w:val="Обычный (веб)1"/>
    <w:basedOn w:val="678"/>
    <w:uiPriority w:val="99"/>
    <w:semiHidden/>
    <w:unhideWhenUsed/>
    <w:pPr>
      <w:keepLines w:val="0"/>
      <w:keepNext w:val="0"/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i w:val="0"/>
      <w:iCs w:val="0"/>
      <w:sz w:val="24"/>
      <w:szCs w:val="24"/>
    </w:rPr>
  </w:style>
  <w:style w:type="paragraph" w:styleId="883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cs="Calibri" w:eastAsiaTheme="minorEastAsia"/>
      <w:lang w:eastAsia="ru-RU"/>
    </w:rPr>
  </w:style>
  <w:style w:type="paragraph" w:styleId="884" w:customStyle="1">
    <w:name w:val="Normal (Web)"/>
    <w:uiPriority w:val="0"/>
    <w:qFormat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zh-CN" w:bidi="ar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ustomXml" Target="../customXml/item3.xml" /><Relationship Id="rId13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4417BD-2B50-4D08-A960-12AC92E5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revision>30</cp:revision>
  <dcterms:created xsi:type="dcterms:W3CDTF">2025-05-18T10:46:00Z</dcterms:created>
  <dcterms:modified xsi:type="dcterms:W3CDTF">2026-08-03T13:12:52Z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