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Белгородской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Белгородской области от 17 июля 2023 года № 390-пп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ind w:firstLine="708"/>
        <w:jc w:val="both"/>
        <w:spacing w:line="264" w:lineRule="auto"/>
        <w:rPr>
          <w:rFonts w:ascii="Times New Roman" w:hAnsi="Times New Roman" w:eastAsia="PT Astra Serif" w:cs="Times New Roman"/>
          <w:color w:val="000000"/>
          <w:sz w:val="28"/>
          <w:szCs w:val="28"/>
        </w:rPr>
      </w:pPr>
      <w:r>
        <w:rPr>
          <w:rFonts w:ascii="Times New Roman" w:hAnsi="Times New Roman" w:eastAsia="PT Astra Serif" w:cs="Times New Roman"/>
          <w:color w:val="000000"/>
          <w:sz w:val="28"/>
          <w:szCs w:val="28"/>
          <w:shd w:val="clear" w:color="auto" w:fill="ffffff"/>
        </w:rPr>
        <w:t xml:space="preserve">Проектом постановления Правительства Белгор</w:t>
      </w:r>
      <w:r>
        <w:rPr>
          <w:rFonts w:ascii="Times New Roman" w:hAnsi="Times New Roman" w:eastAsia="PT Astra Serif" w:cs="Times New Roman"/>
          <w:color w:val="000000"/>
          <w:sz w:val="28"/>
          <w:szCs w:val="28"/>
          <w:shd w:val="clear" w:color="auto" w:fill="ffffff"/>
        </w:rPr>
        <w:t xml:space="preserve">одской области                            «О внесении изменений в постановление Правительства Белгородской области от 17 июля 2023 года № 390-пп» (далее – Проект)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предусмотрено внесение изменений в отдельные положения указанного постановления Правительства Белгородской области на основании вступивших в силу изменений федерального законодательств</w:t>
      </w:r>
      <w:r>
        <w:rPr>
          <w:rFonts w:ascii="Times New Roman" w:hAnsi="Times New Roman" w:eastAsia="PT Astra Serif" w:cs="Times New Roman"/>
          <w:color w:val="000000"/>
          <w:sz w:val="28"/>
          <w:szCs w:val="28"/>
          <w:shd w:val="clear" w:color="auto" w:fill="ffffff"/>
        </w:rPr>
        <w:t xml:space="preserve">а.</w:t>
      </w:r>
      <w:r>
        <w:rPr>
          <w:rFonts w:ascii="Times New Roman" w:hAnsi="Times New Roman" w:eastAsia="PT Astra Serif" w:cs="Times New Roman"/>
          <w:color w:val="000000"/>
          <w:sz w:val="28"/>
          <w:szCs w:val="28"/>
          <w:highlight w:val="yellow"/>
        </w:rPr>
      </w:r>
    </w:p>
    <w:p>
      <w:pPr>
        <w:pStyle w:val="851"/>
        <w:ind w:firstLine="708"/>
        <w:jc w:val="both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Кроме того,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предлагается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расширить перечень профилактических мероприятий. </w:t>
      </w:r>
      <w:r>
        <w:rPr>
          <w:rFonts w:ascii="Times New Roman" w:hAnsi="Times New Roman" w:eastAsia="PT Astra Serif" w:cs="Times New Roman"/>
          <w:color w:val="000000"/>
          <w:sz w:val="28"/>
          <w:szCs w:val="28"/>
          <w:highlight w:val="none"/>
        </w:rPr>
        <w:t xml:space="preserve">В частности в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водятся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такие виды профилактических мероприятий, как меры стимулирования добросовестности и самообследование.</w:t>
      </w:r>
      <w:r>
        <w:rPr>
          <w:rFonts w:ascii="Times New Roman" w:hAnsi="Times New Roman" w:eastAsia="PT Astra Serif" w:cs="Times New Roman"/>
          <w:color w:val="000000"/>
          <w:sz w:val="28"/>
          <w:szCs w:val="28"/>
          <w:highlight w:val="yellow"/>
        </w:rPr>
      </w:r>
      <w:r/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pStyle w:val="851"/>
        <w:ind w:firstLine="708"/>
        <w:jc w:val="both"/>
        <w:rPr>
          <w:rFonts w:ascii="Times New Roman" w:hAnsi="Times New Roman" w:eastAsia="PT Astra Serif" w:cs="Times New Roman"/>
          <w:sz w:val="28"/>
          <w:szCs w:val="28"/>
          <w:highlight w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Мера стимулирования добросовестности – вид нематериального поощрения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добросовестного контролируемого лица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с целью мотивации контролируемого лица к соблюдению обязательных  требований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к безопасной эксплуатации аттракционов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В качестве меры стимулирования добросовестности определена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благ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одарность и благодарность с вручением отличительного знака в виде наклейки.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</w:p>
    <w:p>
      <w:pPr>
        <w:pStyle w:val="851"/>
        <w:ind w:firstLine="708"/>
        <w:jc w:val="both"/>
        <w:rPr>
          <w:rFonts w:ascii="Times New Roman" w:hAnsi="Times New Roman" w:eastAsia="PT Astra Serif" w:cs="Times New Roman"/>
          <w:sz w:val="28"/>
          <w:szCs w:val="28"/>
          <w:highlight w:val="yellow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Под самообследованием понимается комплекс мероприятий, который контролируемое лицо будет проводить самостоятельно в целях добровольного определения соблюдения им обязательных требований. Самообследование предполагает заполнение контролируемым лицом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перечня вопросов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br/>
        <w:t xml:space="preserve">с последующим составлением декларации соблюдения обязательных требований. Методика проведения самообследования утверждается правовым актом инспекции гостехнадзора области.</w:t>
      </w:r>
      <w:r>
        <w:rPr>
          <w:rFonts w:ascii="Times New Roman" w:hAnsi="Times New Roman" w:eastAsia="PT Astra Serif" w:cs="Times New Roman"/>
          <w:sz w:val="28"/>
          <w:szCs w:val="28"/>
          <w:highlight w:val="yellow"/>
        </w:rPr>
      </w:r>
      <w:r>
        <w:rPr>
          <w:rFonts w:ascii="Times New Roman" w:hAnsi="Times New Roman" w:eastAsia="PT Astra Serif" w:cs="Times New Roman"/>
          <w:sz w:val="28"/>
          <w:szCs w:val="28"/>
          <w:highlight w:val="yellow"/>
        </w:rPr>
      </w:r>
    </w:p>
    <w:p>
      <w:pPr>
        <w:pStyle w:val="851"/>
        <w:ind w:firstLine="708"/>
        <w:jc w:val="both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Введение данных видов профилактических мероприятий расширит возможности контролируемых лиц снизить административну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ю нагрузку на них со стороны инспекции гостехнадзора области, а также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увеличит шанс получения нематериального поощрения со стороны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инспекции гостехнадзора области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Принятие данного Проекта не потребует дополнительных средств областного бюджета.</w:t>
      </w:r>
      <w:r>
        <w:rPr>
          <w:rFonts w:ascii="Times New Roman" w:hAnsi="Times New Roman" w:eastAsia="PT Astra Serif" w:cs="Times New Roman"/>
        </w:rPr>
      </w:r>
      <w:r>
        <w:rPr>
          <w:rFonts w:ascii="Times New Roman" w:hAnsi="Times New Roman" w:eastAsia="PT Astra Serif" w:cs="Times New Roman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28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Начальник инспекции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гостехнадзора Белгородской области                                                   А.С.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Мирончук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  <w:style w:type="paragraph" w:styleId="853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2023-04-05T08:30:00Z</dcterms:created>
  <dcterms:modified xsi:type="dcterms:W3CDTF">2024-12-23T11:19:41Z</dcterms:modified>
</cp:coreProperties>
</file>