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Сводный отчет</w:t>
      </w:r>
      <w:r>
        <w:rPr>
          <w:rFonts w:eastAsia="Calibri"/>
          <w:b/>
          <w:bCs/>
          <w:sz w:val="28"/>
          <w:szCs w:val="28"/>
        </w:rPr>
        <w:br/>
        <w:t xml:space="preserve">о результатах проведения оценки регулирующего воздействия</w:t>
      </w:r>
      <w:r>
        <w:rPr>
          <w:rFonts w:eastAsia="Calibri"/>
          <w:b/>
          <w:bCs/>
          <w:sz w:val="28"/>
          <w:szCs w:val="28"/>
        </w:rPr>
        <w:br/>
        <w:t xml:space="preserve">проекта нормативного правового акта</w:t>
      </w:r>
      <w:r/>
    </w:p>
    <w:p>
      <w:pPr>
        <w:ind w:firstLine="709"/>
        <w:jc w:val="center"/>
        <w:rPr>
          <w:rFonts w:eastAsia="Calibri"/>
          <w:b/>
          <w:bCs/>
          <w:sz w:val="16"/>
          <w:szCs w:val="16"/>
        </w:rPr>
      </w:pPr>
      <w:r>
        <w:rPr>
          <w:rFonts w:eastAsia="Calibri"/>
          <w:b/>
          <w:bCs/>
          <w:sz w:val="16"/>
          <w:szCs w:val="16"/>
        </w:rPr>
      </w:r>
      <w:r/>
    </w:p>
    <w:p>
      <w:pPr>
        <w:contextualSpacing/>
        <w:ind w:firstLine="709"/>
        <w:jc w:val="both"/>
        <w:rPr>
          <w:b/>
          <w:bCs/>
          <w:i w:val="0"/>
          <w:sz w:val="26"/>
          <w:szCs w:val="26"/>
          <w:u w:val="none"/>
        </w:rPr>
      </w:pPr>
      <w:r>
        <w:rPr>
          <w:b/>
          <w:bCs/>
          <w:i w:val="0"/>
          <w:iCs w:val="0"/>
          <w:sz w:val="26"/>
          <w:szCs w:val="26"/>
          <w:u w:val="none"/>
        </w:rPr>
        <w:t xml:space="preserve">1. Общая информация:</w:t>
      </w:r>
      <w:r>
        <w:rPr>
          <w:b/>
          <w:bCs/>
          <w:i w:val="0"/>
          <w:iCs w:val="0"/>
          <w:sz w:val="26"/>
          <w:szCs w:val="26"/>
          <w:u w:val="none"/>
        </w:rPr>
      </w:r>
      <w:r/>
    </w:p>
    <w:p>
      <w:pPr>
        <w:ind w:firstLine="709"/>
        <w:jc w:val="both"/>
        <w:rPr>
          <w:rFonts w:eastAsia="Calibri"/>
          <w:bCs w:val="0"/>
          <w:i w:val="0"/>
          <w:sz w:val="26"/>
          <w:szCs w:val="26"/>
          <w:u w:val="none"/>
        </w:rPr>
      </w:pPr>
      <w:r>
        <w:rPr>
          <w:rFonts w:eastAsia="Calibri"/>
          <w:b/>
          <w:bCs/>
          <w:i w:val="0"/>
          <w:iCs w:val="0"/>
          <w:sz w:val="26"/>
          <w:szCs w:val="26"/>
          <w:u w:val="none"/>
        </w:rPr>
        <w:t xml:space="preserve">1.1. Орган-разработчик</w:t>
      </w:r>
      <w:r>
        <w:rPr>
          <w:rFonts w:eastAsia="Calibri"/>
          <w:i w:val="0"/>
          <w:iCs w:val="0"/>
          <w:sz w:val="26"/>
          <w:szCs w:val="26"/>
          <w:u w:val="none"/>
        </w:rPr>
        <w:t xml:space="preserve"> (инициатор проекта закона Белгородской области):</w:t>
      </w:r>
      <w:r>
        <w:rPr>
          <w:i w:val="0"/>
          <w:iCs w:val="0"/>
          <w:sz w:val="26"/>
          <w:szCs w:val="26"/>
          <w:u w:val="none"/>
        </w:rPr>
      </w:r>
      <w:r/>
    </w:p>
    <w:p>
      <w:pPr>
        <w:ind w:firstLine="709"/>
        <w:jc w:val="both"/>
        <w:rPr>
          <w:rFonts w:eastAsia="Calibri"/>
          <w:bCs w:val="0"/>
          <w:i w:val="0"/>
          <w:sz w:val="26"/>
          <w:szCs w:val="26"/>
          <w:u w:val="none"/>
        </w:rPr>
      </w:pPr>
      <w:r>
        <w:rPr>
          <w:rFonts w:eastAsia="Calibri"/>
          <w:i w:val="0"/>
          <w:iCs w:val="0"/>
          <w:sz w:val="26"/>
          <w:szCs w:val="26"/>
          <w:u w:val="none"/>
        </w:rPr>
        <w:t xml:space="preserve">Управление по туризму Белгородской области</w:t>
      </w:r>
      <w:r>
        <w:rPr>
          <w:i w:val="0"/>
          <w:iCs w:val="0"/>
          <w:sz w:val="26"/>
          <w:szCs w:val="26"/>
          <w:u w:val="none"/>
        </w:rPr>
      </w:r>
      <w:r/>
    </w:p>
    <w:p>
      <w:pPr>
        <w:ind w:firstLine="709"/>
        <w:jc w:val="both"/>
        <w:rPr>
          <w:rFonts w:eastAsia="Calibri"/>
          <w:b/>
          <w:bCs/>
          <w:i w:val="0"/>
          <w:sz w:val="26"/>
          <w:szCs w:val="26"/>
          <w:u w:val="none"/>
        </w:rPr>
      </w:pPr>
      <w:r>
        <w:rPr>
          <w:rFonts w:eastAsia="Calibri"/>
          <w:b/>
          <w:bCs/>
          <w:i w:val="0"/>
          <w:iCs w:val="0"/>
          <w:sz w:val="26"/>
          <w:szCs w:val="26"/>
          <w:u w:val="none"/>
        </w:rPr>
        <w:t xml:space="preserve">1.2. Вид и наименование проекта нормативного правового акта:</w:t>
      </w:r>
      <w:r>
        <w:rPr>
          <w:b/>
          <w:bCs/>
          <w:i w:val="0"/>
          <w:iCs w:val="0"/>
          <w:sz w:val="26"/>
          <w:szCs w:val="26"/>
          <w:u w:val="none"/>
        </w:rPr>
      </w:r>
      <w:r/>
    </w:p>
    <w:p>
      <w:pPr>
        <w:ind w:firstLine="709"/>
        <w:jc w:val="both"/>
        <w:rPr>
          <w:rFonts w:eastAsia="Calibri"/>
          <w:bCs w:val="0"/>
          <w:i w:val="0"/>
          <w:sz w:val="26"/>
          <w:szCs w:val="26"/>
          <w:u w:val="none"/>
        </w:rPr>
      </w:pPr>
      <w:r>
        <w:rPr>
          <w:rFonts w:eastAsia="Calibri"/>
          <w:i w:val="0"/>
          <w:iCs w:val="0"/>
          <w:sz w:val="26"/>
          <w:szCs w:val="26"/>
          <w:u w:val="none"/>
        </w:rPr>
        <w:t xml:space="preserve">Проект постановления Правительства Белгородской области </w:t>
      </w:r>
      <w:r>
        <w:rPr>
          <w:rFonts w:eastAsia="Calibri"/>
          <w:i w:val="0"/>
          <w:iCs w:val="0"/>
          <w:sz w:val="26"/>
          <w:szCs w:val="26"/>
          <w:u w:val="none"/>
        </w:rPr>
        <w:br/>
        <w:t xml:space="preserve">«Об утверждении </w:t>
      </w:r>
      <w:r>
        <w:rPr>
          <w:rFonts w:eastAsia="Calibri"/>
          <w:i w:val="0"/>
          <w:iCs w:val="0"/>
          <w:sz w:val="26"/>
          <w:szCs w:val="26"/>
          <w:u w:val="none"/>
        </w:rPr>
        <w:t xml:space="preserve">Положения о региональном государственном контроле (надзоре) в сфере туристской индустрии</w:t>
      </w:r>
      <w:r>
        <w:rPr>
          <w:rFonts w:eastAsia="Calibri"/>
          <w:i w:val="0"/>
          <w:iCs w:val="0"/>
          <w:sz w:val="26"/>
          <w:szCs w:val="26"/>
          <w:u w:val="none"/>
        </w:rPr>
        <w:t xml:space="preserve">»</w:t>
      </w:r>
      <w:r>
        <w:rPr>
          <w:rFonts w:eastAsia="Calibri"/>
          <w:i w:val="0"/>
          <w:iCs w:val="0"/>
          <w:sz w:val="26"/>
          <w:szCs w:val="26"/>
          <w:u w:val="none"/>
        </w:rPr>
        <w:t xml:space="preserve"> (далее – проект постановления)</w:t>
      </w:r>
      <w:r>
        <w:rPr>
          <w:i w:val="0"/>
          <w:iCs w:val="0"/>
          <w:sz w:val="26"/>
          <w:szCs w:val="26"/>
          <w:u w:val="none"/>
        </w:rPr>
      </w:r>
      <w:r/>
    </w:p>
    <w:p>
      <w:pPr>
        <w:ind w:firstLine="709"/>
        <w:jc w:val="both"/>
        <w:widowControl w:val="off"/>
        <w:rPr>
          <w:bCs w:val="0"/>
          <w:i w:val="0"/>
          <w:sz w:val="26"/>
          <w:szCs w:val="26"/>
          <w:u w:val="none"/>
        </w:rPr>
      </w:pPr>
      <w:r>
        <w:rPr>
          <w:b/>
          <w:bCs/>
          <w:i w:val="0"/>
          <w:iCs w:val="0"/>
          <w:sz w:val="26"/>
          <w:szCs w:val="26"/>
          <w:u w:val="none"/>
        </w:rPr>
        <w:t xml:space="preserve">1.3. Сроки проведения публичного обсуждения проекта </w:t>
      </w:r>
      <w:r>
        <w:rPr>
          <w:b/>
          <w:bCs/>
          <w:i w:val="0"/>
          <w:iCs w:val="0"/>
          <w:sz w:val="26"/>
          <w:szCs w:val="26"/>
          <w:u w:val="none"/>
        </w:rPr>
        <w:t xml:space="preserve">нормативного правового </w:t>
      </w:r>
      <w:r>
        <w:rPr>
          <w:b/>
          <w:bCs/>
          <w:i w:val="0"/>
          <w:iCs w:val="0"/>
          <w:sz w:val="26"/>
          <w:szCs w:val="26"/>
          <w:u w:val="none"/>
        </w:rPr>
        <w:t xml:space="preserve">акта:</w:t>
      </w:r>
      <w:r>
        <w:rPr>
          <w:i w:val="0"/>
          <w:iCs w:val="0"/>
          <w:sz w:val="26"/>
          <w:szCs w:val="26"/>
          <w:u w:val="none"/>
        </w:rPr>
        <w:t xml:space="preserve"> </w:t>
      </w:r>
      <w:r>
        <w:rPr>
          <w:i w:val="0"/>
          <w:iCs w:val="0"/>
          <w:sz w:val="26"/>
          <w:szCs w:val="26"/>
          <w:u w:val="none"/>
        </w:rPr>
        <w:t xml:space="preserve">начало </w:t>
      </w:r>
      <w:r>
        <w:rPr>
          <w:i w:val="0"/>
          <w:iCs w:val="0"/>
          <w:sz w:val="26"/>
          <w:szCs w:val="26"/>
          <w:u w:val="none"/>
        </w:rPr>
        <w:t xml:space="preserve">«</w:t>
      </w:r>
      <w:r>
        <w:rPr>
          <w:i w:val="0"/>
          <w:iCs w:val="0"/>
          <w:sz w:val="26"/>
          <w:szCs w:val="26"/>
          <w:u w:val="none"/>
        </w:rPr>
        <w:t xml:space="preserve">19</w:t>
      </w:r>
      <w:r>
        <w:rPr>
          <w:i w:val="0"/>
          <w:iCs w:val="0"/>
          <w:sz w:val="26"/>
          <w:szCs w:val="26"/>
          <w:u w:val="none"/>
        </w:rPr>
        <w:t xml:space="preserve">» </w:t>
      </w:r>
      <w:r>
        <w:rPr>
          <w:i w:val="0"/>
          <w:iCs w:val="0"/>
          <w:sz w:val="26"/>
          <w:szCs w:val="26"/>
          <w:u w:val="none"/>
        </w:rPr>
        <w:t xml:space="preserve">февраля 2025</w:t>
      </w:r>
      <w:r>
        <w:rPr>
          <w:i w:val="0"/>
          <w:iCs w:val="0"/>
          <w:sz w:val="26"/>
          <w:szCs w:val="26"/>
          <w:u w:val="none"/>
        </w:rPr>
        <w:t xml:space="preserve"> г., окончание «</w:t>
      </w:r>
      <w:r>
        <w:rPr>
          <w:i w:val="0"/>
          <w:iCs w:val="0"/>
          <w:sz w:val="26"/>
          <w:szCs w:val="26"/>
          <w:u w:val="none"/>
        </w:rPr>
        <w:t xml:space="preserve">25</w:t>
      </w:r>
      <w:r>
        <w:rPr>
          <w:i w:val="0"/>
          <w:iCs w:val="0"/>
          <w:sz w:val="26"/>
          <w:szCs w:val="26"/>
          <w:u w:val="none"/>
        </w:rPr>
        <w:t xml:space="preserve">» февраля</w:t>
      </w:r>
      <w:r>
        <w:rPr>
          <w:i w:val="0"/>
          <w:iCs w:val="0"/>
          <w:sz w:val="26"/>
          <w:szCs w:val="26"/>
          <w:u w:val="none"/>
        </w:rPr>
        <w:t xml:space="preserve"> 2025</w:t>
      </w:r>
      <w:r>
        <w:rPr>
          <w:i w:val="0"/>
          <w:iCs w:val="0"/>
          <w:sz w:val="26"/>
          <w:szCs w:val="26"/>
          <w:u w:val="none"/>
        </w:rPr>
        <w:t xml:space="preserve"> г.</w:t>
      </w:r>
      <w:r>
        <w:rPr>
          <w:i w:val="0"/>
          <w:iCs w:val="0"/>
          <w:sz w:val="26"/>
          <w:szCs w:val="26"/>
          <w:u w:val="none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u w:val="none"/>
        </w:rPr>
        <w:t xml:space="preserve">1.4. Степень регулирующего воздействия проекта нормативного правового акта: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  <w:t xml:space="preserve">Низкая. Проект постановления устанавливает порядок организации деятельности по осуществлению регионального государственного контроля (надзора) в сфере туристской индустрии на территории Белгородской области за соблюдением юридическими лицами, индивидуальны</w:t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  <w:t xml:space="preserve">ми предпринимателями, физическими лицами обязательных требований, установленных Федеральным законом от 24 ноября 1996 года № 132-ФЗ «Об основах туристкой деятельности» и принимаемыми в соответствии с ним нормативными правовыми актами.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708"/>
        <w:jc w:val="both"/>
        <w:spacing w:before="0" w:after="0"/>
        <w:shd w:val="clear" w:color="ffffff" w:fill="ffffff"/>
        <w:tabs>
          <w:tab w:val="left" w:pos="5837" w:leader="none"/>
        </w:tabs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6"/>
          <w:szCs w:val="26"/>
        </w:rPr>
        <w:t xml:space="preserve">Проект нормативного правового акта не содержит положения, устанавливающие новые и (или) изменяющие ранее предусмотренные: обязательные требования для субъектов предпринимательской и иной экономической деятельности, обязанности и запреты для субъектов предп</w:t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  <w:t xml:space="preserve">ринимательской и инвестиционной деятельности, ответственность 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  <w:t xml:space="preserve">за нарушение нормативных правовых актов Белгородской области, затрагивающих вопросы осуществления предпринимательской и иной экономической деятельности.</w:t>
      </w:r>
      <w:r>
        <w:rPr>
          <w:rFonts w:ascii="Times New Roman" w:hAnsi="Times New Roman" w:cs="Times New Roman"/>
          <w:sz w:val="26"/>
          <w:szCs w:val="26"/>
        </w:rPr>
        <w:t xml:space="preserve"> В тоже время, в ходе проведения выездной проверки, уполномоченное должностное лицо </w:t>
      </w:r>
      <w:r>
        <w:rPr>
          <w:rFonts w:eastAsia="Calibri"/>
          <w:i w:val="0"/>
          <w:iCs w:val="0"/>
          <w:sz w:val="26"/>
          <w:szCs w:val="26"/>
          <w:u w:val="none"/>
        </w:rPr>
        <w:t xml:space="preserve">управления по туризму 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вправе истребовать от контролируемого лица документы, необходимые</w:t>
      </w:r>
      <w:r>
        <w:rPr>
          <w:rFonts w:ascii="Times New Roman" w:hAnsi="Times New Roman" w:cs="Times New Roman"/>
          <w:sz w:val="26"/>
          <w:szCs w:val="26"/>
        </w:rPr>
        <w:t xml:space="preserve"> для рассмотрения.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rPr>
          <w:b/>
          <w:bCs/>
          <w:i w:val="0"/>
          <w:sz w:val="26"/>
          <w:szCs w:val="26"/>
          <w:u w:val="none"/>
        </w:rPr>
      </w:pPr>
      <w:r>
        <w:rPr>
          <w:b/>
          <w:bCs/>
          <w:i w:val="0"/>
          <w:iCs w:val="0"/>
          <w:sz w:val="26"/>
          <w:szCs w:val="26"/>
          <w:u w:val="none"/>
        </w:rPr>
        <w:t xml:space="preserve">1.5. Контактная информация исполнителя в органе-разработчике:</w:t>
      </w:r>
      <w:r>
        <w:rPr>
          <w:b/>
          <w:bCs/>
          <w:i w:val="0"/>
          <w:iCs w:val="0"/>
          <w:sz w:val="26"/>
          <w:szCs w:val="26"/>
          <w:u w:val="none"/>
        </w:rPr>
      </w:r>
      <w:r/>
    </w:p>
    <w:p>
      <w:pPr>
        <w:ind w:firstLine="709"/>
        <w:jc w:val="both"/>
        <w:widowControl w:val="off"/>
        <w:rPr>
          <w:bCs w:val="0"/>
          <w:i w:val="0"/>
          <w:sz w:val="26"/>
          <w:szCs w:val="26"/>
          <w:u w:val="none"/>
        </w:rPr>
      </w:pPr>
      <w:r>
        <w:rPr>
          <w:i w:val="0"/>
          <w:iCs w:val="0"/>
          <w:sz w:val="26"/>
          <w:szCs w:val="26"/>
          <w:u w:val="none"/>
        </w:rPr>
        <w:t xml:space="preserve">Ф.И.О.: </w:t>
      </w:r>
      <w:r>
        <w:rPr>
          <w:i w:val="0"/>
          <w:iCs w:val="0"/>
          <w:sz w:val="26"/>
          <w:szCs w:val="26"/>
          <w:u w:val="none"/>
        </w:rPr>
        <w:t xml:space="preserve">Кац</w:t>
      </w:r>
      <w:r>
        <w:rPr>
          <w:i w:val="0"/>
          <w:iCs w:val="0"/>
          <w:sz w:val="26"/>
          <w:szCs w:val="26"/>
          <w:u w:val="none"/>
        </w:rPr>
        <w:t xml:space="preserve"> Виктория Борисовна</w:t>
      </w:r>
      <w:r>
        <w:rPr>
          <w:i w:val="0"/>
          <w:iCs w:val="0"/>
          <w:sz w:val="26"/>
          <w:szCs w:val="26"/>
          <w:u w:val="none"/>
        </w:rPr>
      </w:r>
      <w:r/>
    </w:p>
    <w:p>
      <w:pPr>
        <w:ind w:firstLine="709"/>
        <w:jc w:val="both"/>
        <w:rPr>
          <w:rFonts w:eastAsia="Calibri"/>
          <w:bCs w:val="0"/>
          <w:i w:val="0"/>
          <w:sz w:val="26"/>
          <w:szCs w:val="26"/>
          <w:u w:val="none"/>
        </w:rPr>
      </w:pPr>
      <w:r>
        <w:rPr>
          <w:i w:val="0"/>
          <w:iCs w:val="0"/>
          <w:sz w:val="26"/>
          <w:szCs w:val="26"/>
          <w:u w:val="none"/>
        </w:rPr>
        <w:t xml:space="preserve">Должность</w:t>
      </w:r>
      <w:r>
        <w:rPr>
          <w:rFonts w:eastAsia="Calibri"/>
          <w:i w:val="0"/>
          <w:iCs w:val="0"/>
          <w:sz w:val="26"/>
          <w:szCs w:val="26"/>
          <w:u w:val="none"/>
        </w:rPr>
        <w:t xml:space="preserve">:</w:t>
      </w:r>
      <w:r>
        <w:rPr>
          <w:i w:val="0"/>
          <w:iCs w:val="0"/>
          <w:sz w:val="26"/>
          <w:szCs w:val="26"/>
          <w:u w:val="none"/>
          <w:lang w:eastAsia="ru-RU" w:bidi="ar-SA"/>
        </w:rPr>
        <w:t xml:space="preserve"> </w:t>
      </w:r>
      <w:r>
        <w:rPr>
          <w:rFonts w:eastAsia="Calibri"/>
          <w:i w:val="0"/>
          <w:iCs w:val="0"/>
          <w:sz w:val="26"/>
          <w:szCs w:val="26"/>
          <w:u w:val="none"/>
        </w:rPr>
        <w:t xml:space="preserve">заместитель начальника управления – начальник отдела государственного регулирования туристской деятельности реализации государственных программ управления по туризму Белгородской области</w:t>
      </w:r>
      <w:r>
        <w:rPr>
          <w:i w:val="0"/>
          <w:iCs w:val="0"/>
          <w:sz w:val="26"/>
          <w:szCs w:val="26"/>
          <w:u w:val="none"/>
        </w:rPr>
      </w:r>
      <w:r/>
    </w:p>
    <w:p>
      <w:pPr>
        <w:ind w:firstLine="709"/>
        <w:jc w:val="both"/>
        <w:rPr>
          <w:bCs w:val="0"/>
          <w:i w:val="0"/>
          <w:sz w:val="26"/>
          <w:szCs w:val="26"/>
          <w:u w:val="none"/>
        </w:rPr>
      </w:pPr>
      <w:r>
        <w:rPr>
          <w:i w:val="0"/>
          <w:iCs w:val="0"/>
          <w:sz w:val="26"/>
          <w:szCs w:val="26"/>
          <w:u w:val="none"/>
        </w:rPr>
        <w:t xml:space="preserve">Тел.: </w:t>
      </w:r>
      <w:r>
        <w:rPr>
          <w:i w:val="0"/>
          <w:iCs w:val="0"/>
          <w:sz w:val="26"/>
          <w:szCs w:val="26"/>
          <w:u w:val="none"/>
        </w:rPr>
        <w:t xml:space="preserve">(4722) 23-58-63</w:t>
      </w:r>
      <w:r>
        <w:rPr>
          <w:i w:val="0"/>
          <w:iCs w:val="0"/>
          <w:sz w:val="26"/>
          <w:szCs w:val="26"/>
          <w:u w:val="none"/>
        </w:rPr>
        <w:t xml:space="preserve">; </w:t>
      </w:r>
      <w:r>
        <w:rPr>
          <w:i w:val="0"/>
          <w:iCs w:val="0"/>
          <w:sz w:val="26"/>
          <w:szCs w:val="26"/>
          <w:u w:val="none"/>
        </w:rPr>
      </w:r>
      <w:r/>
    </w:p>
    <w:p>
      <w:pPr>
        <w:ind w:firstLine="709"/>
        <w:jc w:val="both"/>
        <w:rPr>
          <w:rFonts w:eastAsia="Calibri"/>
          <w:bCs w:val="0"/>
          <w:i w:val="0"/>
          <w:sz w:val="26"/>
          <w:szCs w:val="26"/>
          <w:u w:val="none"/>
        </w:rPr>
      </w:pPr>
      <w:r>
        <w:rPr>
          <w:i w:val="0"/>
          <w:iCs w:val="0"/>
          <w:sz w:val="26"/>
          <w:szCs w:val="26"/>
          <w:u w:val="none"/>
        </w:rPr>
        <w:t xml:space="preserve">Адрес электронной почты</w:t>
      </w:r>
      <w:r>
        <w:rPr>
          <w:i w:val="0"/>
          <w:iCs w:val="0"/>
          <w:color w:val="00b050"/>
          <w:sz w:val="26"/>
          <w:szCs w:val="26"/>
          <w:u w:val="none"/>
        </w:rPr>
        <w:t xml:space="preserve">:</w:t>
      </w:r>
      <w:r>
        <w:rPr>
          <w:i w:val="0"/>
          <w:iCs w:val="0"/>
          <w:color w:val="00b050"/>
          <w:sz w:val="26"/>
          <w:szCs w:val="26"/>
          <w:u w:val="none"/>
        </w:rPr>
        <w:t xml:space="preserve"> </w:t>
      </w:r>
      <w:r>
        <w:rPr>
          <w:i w:val="0"/>
          <w:iCs w:val="0"/>
          <w:sz w:val="26"/>
          <w:szCs w:val="26"/>
          <w:u w:val="none"/>
        </w:rPr>
        <w:t xml:space="preserve">ka</w:t>
      </w:r>
      <w:r>
        <w:rPr>
          <w:i w:val="0"/>
          <w:iCs w:val="0"/>
          <w:sz w:val="26"/>
          <w:szCs w:val="26"/>
          <w:u w:val="none"/>
          <w:lang w:val="en-US"/>
        </w:rPr>
        <w:t xml:space="preserve">ts</w:t>
      </w:r>
      <w:r>
        <w:rPr>
          <w:i w:val="0"/>
          <w:iCs w:val="0"/>
          <w:sz w:val="26"/>
          <w:szCs w:val="26"/>
          <w:u w:val="none"/>
        </w:rPr>
        <w:t xml:space="preserve">_vb@belregion.ru </w:t>
      </w:r>
      <w:r>
        <w:rPr>
          <w:i w:val="0"/>
          <w:iCs w:val="0"/>
          <w:sz w:val="26"/>
          <w:szCs w:val="26"/>
          <w:u w:val="none"/>
        </w:rPr>
      </w:r>
      <w:r/>
    </w:p>
    <w:p>
      <w:pPr>
        <w:ind w:firstLine="709"/>
        <w:jc w:val="both"/>
        <w:rPr>
          <w:rFonts w:eastAsia="Calibri"/>
          <w:b/>
          <w:bCs/>
          <w:i w:val="0"/>
          <w:sz w:val="26"/>
          <w:szCs w:val="26"/>
          <w:u w:val="none"/>
        </w:rPr>
      </w:pPr>
      <w:r>
        <w:rPr>
          <w:rFonts w:eastAsia="Calibri"/>
          <w:b/>
          <w:bCs/>
          <w:i w:val="0"/>
          <w:iCs w:val="0"/>
          <w:sz w:val="26"/>
          <w:szCs w:val="26"/>
          <w:u w:val="none"/>
        </w:rPr>
        <w:t xml:space="preserve">2. Описание проблемы, на решение которой направлено вводимое правовое регулирование:</w:t>
      </w:r>
      <w:r>
        <w:rPr>
          <w:b/>
          <w:bCs/>
          <w:i w:val="0"/>
          <w:iCs w:val="0"/>
          <w:sz w:val="26"/>
          <w:szCs w:val="26"/>
          <w:u w:val="none"/>
        </w:rPr>
      </w:r>
      <w:r/>
    </w:p>
    <w:p>
      <w:pPr>
        <w:ind w:firstLine="709"/>
        <w:jc w:val="both"/>
        <w:rPr>
          <w:b/>
          <w:bCs/>
          <w:i w:val="0"/>
          <w:sz w:val="26"/>
          <w:szCs w:val="26"/>
          <w:highlight w:val="none"/>
          <w:u w:val="none"/>
        </w:rPr>
      </w:pPr>
      <w:r>
        <w:rPr>
          <w:rFonts w:eastAsia="Calibri"/>
          <w:b/>
          <w:bCs/>
          <w:i w:val="0"/>
          <w:iCs w:val="0"/>
          <w:sz w:val="26"/>
          <w:szCs w:val="26"/>
          <w:u w:val="none"/>
        </w:rPr>
        <w:t xml:space="preserve">2.1. Проблема, на решение которой направлен предлагаемый способ правового регулирования:</w:t>
      </w:r>
      <w:r>
        <w:rPr>
          <w:b/>
          <w:bCs/>
          <w:i w:val="0"/>
          <w:iCs w:val="0"/>
          <w:sz w:val="26"/>
          <w:szCs w:val="26"/>
          <w:u w:val="none"/>
        </w:rPr>
        <w:t xml:space="preserve"> </w:t>
      </w:r>
      <w:r>
        <w:rPr>
          <w:b/>
          <w:bCs/>
          <w:i w:val="0"/>
          <w:iCs w:val="0"/>
          <w:sz w:val="26"/>
          <w:szCs w:val="26"/>
          <w:u w:val="none"/>
        </w:rPr>
      </w:r>
      <w:r/>
    </w:p>
    <w:p>
      <w:pPr>
        <w:ind w:firstLine="709"/>
        <w:jc w:val="both"/>
        <w:rPr>
          <w:bCs w:val="0"/>
          <w:i w:val="0"/>
          <w:sz w:val="26"/>
          <w:szCs w:val="26"/>
          <w:u w:val="none"/>
        </w:rPr>
      </w:pPr>
      <w:r>
        <w:rPr>
          <w:i w:val="0"/>
          <w:iCs w:val="0"/>
          <w:sz w:val="26"/>
          <w:szCs w:val="26"/>
          <w:highlight w:val="none"/>
          <w:u w:val="none"/>
        </w:rPr>
      </w:r>
      <w:r>
        <w:rPr>
          <w:i w:val="0"/>
          <w:iCs w:val="0"/>
          <w:sz w:val="26"/>
          <w:szCs w:val="26"/>
          <w:u w:val="none"/>
        </w:rPr>
        <w:t xml:space="preserve">Невозможность осуществлять региональный государственный контроль (надзор) в сфере туристской индустрии.</w:t>
      </w:r>
      <w:r>
        <w:rPr>
          <w:bCs/>
          <w:i w:val="0"/>
          <w:iCs w:val="0"/>
          <w:sz w:val="26"/>
          <w:szCs w:val="26"/>
          <w:u w:val="none"/>
        </w:rPr>
      </w:r>
      <w:r/>
    </w:p>
    <w:p>
      <w:pPr>
        <w:ind w:firstLine="708"/>
        <w:jc w:val="both"/>
        <w:rPr>
          <w:bCs w:val="0"/>
          <w:i w:val="0"/>
          <w:sz w:val="26"/>
          <w:szCs w:val="26"/>
          <w:u w:val="none"/>
        </w:rPr>
      </w:pPr>
      <w:r>
        <w:rPr>
          <w:i w:val="0"/>
          <w:iCs w:val="0"/>
          <w:sz w:val="26"/>
          <w:szCs w:val="26"/>
          <w:u w:val="none"/>
        </w:rPr>
        <w:t xml:space="preserve">Федеральный закон от 30 ноября 2024 № 436-ФЗ «О внесении изменений в Федеральный закон «Об основах туристской деятельности в Российской Феде</w:t>
      </w:r>
      <w:r>
        <w:rPr>
          <w:i w:val="0"/>
          <w:iCs w:val="0"/>
          <w:sz w:val="26"/>
          <w:szCs w:val="26"/>
          <w:u w:val="none"/>
        </w:rPr>
        <w:t xml:space="preserve">рации» и статью 44 Федерального закона «Об общих принципах организации публичной власти в субъектах Российской Федерации» изменяет подходы к классификации средств размещения, реестру классифицированных средств размещения, деятельности экскурсоводов (гидов)</w:t>
      </w:r>
      <w:r>
        <w:rPr>
          <w:i w:val="0"/>
          <w:iCs w:val="0"/>
          <w:sz w:val="26"/>
          <w:szCs w:val="26"/>
          <w:u w:val="none"/>
        </w:rPr>
        <w:t xml:space="preserve">, гидов-переводчиков, а также подходы к осуществлению государственного контроля (надзора) в сфере туристской индустрии.  </w:t>
      </w:r>
      <w:r>
        <w:rPr>
          <w:bCs/>
          <w:i w:val="0"/>
          <w:iCs w:val="0"/>
          <w:sz w:val="26"/>
          <w:szCs w:val="26"/>
          <w:u w:val="none"/>
        </w:rPr>
      </w:r>
      <w:r/>
    </w:p>
    <w:p>
      <w:pPr>
        <w:ind w:firstLine="708"/>
        <w:jc w:val="both"/>
        <w:rPr>
          <w:bCs w:val="0"/>
          <w:i w:val="0"/>
          <w:sz w:val="26"/>
          <w:szCs w:val="26"/>
          <w:u w:val="none"/>
        </w:rPr>
      </w:pPr>
      <w:r>
        <w:rPr>
          <w:i w:val="0"/>
          <w:iCs w:val="0"/>
          <w:sz w:val="26"/>
          <w:szCs w:val="26"/>
          <w:u w:val="none"/>
        </w:rPr>
        <w:t xml:space="preserve">С 1 марта 2025 года экскурсоводы (гиды), гиды-переводчики смогут осуществлять свою деятельность при соблюдении обязательных требований:</w:t>
      </w:r>
      <w:r>
        <w:rPr>
          <w:i w:val="0"/>
          <w:iCs w:val="0"/>
          <w:sz w:val="26"/>
          <w:szCs w:val="26"/>
          <w:u w:val="none"/>
        </w:rPr>
        <w:t xml:space="preserve"> - наличие действующей аттестации и нагрудной идентификационной карточки экскурсоводов (гидов) и гидов-переводчиков при оказании ими услуг; - соблюдение правил оказания услуг экскурсоводом (гидом) и гидомпереводчиком (за исключением требований, относящихся</w:t>
      </w:r>
      <w:r>
        <w:rPr>
          <w:i w:val="0"/>
          <w:iCs w:val="0"/>
          <w:sz w:val="26"/>
          <w:szCs w:val="26"/>
          <w:u w:val="none"/>
        </w:rPr>
        <w:t xml:space="preserve"> </w:t>
      </w:r>
      <w:r>
        <w:rPr>
          <w:i w:val="0"/>
          <w:iCs w:val="0"/>
          <w:sz w:val="26"/>
          <w:szCs w:val="26"/>
          <w:u w:val="none"/>
        </w:rPr>
        <w:t xml:space="preserve">к предмету федерального государственного контроля (надзора) в области защиты прав потребителей).  </w:t>
        <w:tab/>
      </w:r>
      <w:r>
        <w:rPr>
          <w:bCs w:val="0"/>
          <w:i w:val="0"/>
          <w:sz w:val="26"/>
          <w:szCs w:val="26"/>
          <w:u w:val="none"/>
        </w:rPr>
      </w:r>
    </w:p>
    <w:p>
      <w:pPr>
        <w:ind w:firstLine="708"/>
        <w:jc w:val="both"/>
        <w:rPr>
          <w:bCs w:val="0"/>
          <w:i w:val="0"/>
          <w:sz w:val="26"/>
          <w:szCs w:val="26"/>
          <w:u w:val="none"/>
        </w:rPr>
      </w:pPr>
      <w:r>
        <w:rPr>
          <w:i w:val="0"/>
          <w:iCs w:val="0"/>
          <w:sz w:val="26"/>
          <w:szCs w:val="26"/>
          <w:u w:val="none"/>
        </w:rPr>
        <w:t xml:space="preserve">С 1 сентября 2025 года средства размещения, которые не прошли классификацию и сведения о которых не включены в единый реестр классифицированных средств разме</w:t>
      </w:r>
      <w:r>
        <w:rPr>
          <w:i w:val="0"/>
          <w:iCs w:val="0"/>
          <w:sz w:val="26"/>
          <w:szCs w:val="26"/>
          <w:u w:val="none"/>
        </w:rPr>
        <w:t xml:space="preserve">щения, не смогу заключать новые договоры оказания услуг.</w:t>
      </w:r>
      <w:r/>
      <w:r/>
    </w:p>
    <w:p>
      <w:pPr>
        <w:ind w:left="34" w:right="10" w:firstLine="675"/>
        <w:jc w:val="both"/>
        <w:spacing w:line="267" w:lineRule="auto"/>
        <w:rPr>
          <w:rFonts w:eastAsia="Calibri"/>
          <w:b/>
          <w:bCs/>
          <w:i w:val="0"/>
          <w:sz w:val="26"/>
          <w:szCs w:val="26"/>
          <w:highlight w:val="none"/>
          <w:u w:val="none"/>
        </w:rPr>
      </w:pPr>
      <w:r>
        <w:rPr>
          <w:rFonts w:eastAsia="Calibri"/>
          <w:b/>
          <w:bCs/>
          <w:i w:val="0"/>
          <w:iCs w:val="0"/>
          <w:sz w:val="26"/>
          <w:szCs w:val="26"/>
          <w:highlight w:val="none"/>
          <w:u w:val="none"/>
        </w:rPr>
        <w:t xml:space="preserve">2.2. Информация о возникновении и выявлении проблемы:</w:t>
      </w:r>
      <w:r>
        <w:rPr>
          <w:b/>
          <w:bCs/>
          <w:i w:val="0"/>
          <w:iCs w:val="0"/>
          <w:sz w:val="26"/>
          <w:szCs w:val="26"/>
          <w:highlight w:val="none"/>
          <w:u w:val="none"/>
        </w:rPr>
      </w:r>
      <w:r>
        <w:rPr>
          <w:b/>
          <w:bCs/>
          <w:highlight w:val="none"/>
        </w:rPr>
      </w:r>
    </w:p>
    <w:p>
      <w:pPr>
        <w:ind w:left="43" w:firstLine="666"/>
        <w:jc w:val="both"/>
        <w:spacing w:after="9" w:line="247" w:lineRule="auto"/>
        <w:rPr>
          <w:rFonts w:eastAsia="Calibri"/>
          <w:bCs w:val="0"/>
          <w:i w:val="0"/>
          <w:sz w:val="26"/>
          <w:szCs w:val="26"/>
          <w:highlight w:val="yellow"/>
          <w:u w:val="none"/>
        </w:rPr>
      </w:pPr>
      <w:r>
        <w:rPr>
          <w:i w:val="0"/>
          <w:iCs w:val="0"/>
          <w:sz w:val="26"/>
          <w:szCs w:val="26"/>
          <w:highlight w:val="yellow"/>
          <w:u w:val="none"/>
        </w:rPr>
      </w:r>
      <w:r>
        <w:rPr>
          <w:i w:val="0"/>
          <w:iCs w:val="0"/>
          <w:sz w:val="26"/>
          <w:szCs w:val="26"/>
          <w:u w:val="none"/>
        </w:rPr>
        <w:t xml:space="preserve">Требования Федерального закона от 30.11.2024 № 436-ФЗ «О внесении изменений в Федеральный закон «Об основах туристской деятельности в Российской Федерации» и статью 44 Федерального закона «Об общих пр</w:t>
      </w:r>
      <w:r>
        <w:rPr>
          <w:i w:val="0"/>
          <w:iCs w:val="0"/>
          <w:sz w:val="26"/>
          <w:szCs w:val="26"/>
          <w:u w:val="none"/>
        </w:rPr>
        <w:t xml:space="preserve">инципах организации публичной власти в субъектах Российской Федерации»</w:t>
      </w:r>
      <w:r/>
      <w:r>
        <w:rPr>
          <w:i w:val="0"/>
          <w:iCs w:val="0"/>
          <w:sz w:val="26"/>
          <w:szCs w:val="26"/>
          <w:highlight w:val="none"/>
          <w:u w:val="none"/>
        </w:rPr>
        <w:t xml:space="preserve">.</w:t>
      </w:r>
      <w:r>
        <w:rPr>
          <w:i w:val="0"/>
          <w:iCs w:val="0"/>
          <w:sz w:val="26"/>
          <w:szCs w:val="26"/>
          <w:highlight w:val="yellow"/>
          <w:u w:val="none"/>
        </w:rPr>
      </w:r>
      <w:r>
        <w:rPr>
          <w:highlight w:val="yellow"/>
        </w:rPr>
      </w:r>
    </w:p>
    <w:p>
      <w:pPr>
        <w:ind w:firstLine="709"/>
        <w:jc w:val="both"/>
        <w:rPr>
          <w:rFonts w:eastAsia="Calibri"/>
          <w:b/>
          <w:bCs/>
          <w:i w:val="0"/>
          <w:sz w:val="26"/>
          <w:szCs w:val="26"/>
          <w:u w:val="none"/>
        </w:rPr>
      </w:pPr>
      <w:r>
        <w:rPr>
          <w:rFonts w:eastAsia="Calibri"/>
          <w:b/>
          <w:bCs/>
          <w:i w:val="0"/>
          <w:iCs w:val="0"/>
          <w:sz w:val="26"/>
          <w:szCs w:val="26"/>
          <w:u w:val="none"/>
        </w:rPr>
        <w:t xml:space="preserve">2.3. Негативные эффекты, возникающие в связи с наличием рассматриваемой проблемы:</w:t>
      </w:r>
      <w:r>
        <w:rPr>
          <w:b/>
          <w:bCs/>
          <w:i w:val="0"/>
          <w:iCs w:val="0"/>
          <w:sz w:val="26"/>
          <w:szCs w:val="26"/>
          <w:u w:val="none"/>
        </w:rPr>
      </w:r>
      <w:r>
        <w:rPr>
          <w:b/>
          <w:bCs/>
        </w:rPr>
      </w:r>
    </w:p>
    <w:p>
      <w:pPr>
        <w:pStyle w:val="741"/>
        <w:ind w:firstLine="709"/>
        <w:jc w:val="both"/>
        <w:rPr>
          <w:rFonts w:eastAsiaTheme="minorEastAsia"/>
          <w:bCs w:val="0"/>
          <w:i w:val="0"/>
          <w:sz w:val="26"/>
          <w:szCs w:val="26"/>
          <w:u w:val="none"/>
        </w:rPr>
      </w:pPr>
      <w:r>
        <w:rPr>
          <w:i w:val="0"/>
          <w:iCs w:val="0"/>
          <w:sz w:val="26"/>
          <w:szCs w:val="26"/>
          <w:u w:val="none"/>
        </w:rPr>
        <w:t xml:space="preserve">В случае непринятия проекта постановления в регионе будет отсу</w:t>
      </w:r>
      <w:r>
        <w:rPr>
          <w:i w:val="0"/>
          <w:iCs w:val="0"/>
          <w:sz w:val="26"/>
          <w:szCs w:val="26"/>
          <w:u w:val="none"/>
        </w:rPr>
        <w:t xml:space="preserve">тствовать правовая основа для осуществления регионального государственного контроля (надзора) в сфере туристской индустрии, что может привести к нарушению юридическими лицами, индивидуальными предпринимателями, физическими лицами, за деятельностью которых </w:t>
      </w:r>
      <w:r>
        <w:rPr>
          <w:i w:val="0"/>
          <w:iCs w:val="0"/>
          <w:sz w:val="26"/>
          <w:szCs w:val="26"/>
          <w:u w:val="none"/>
        </w:rPr>
        <w:t xml:space="preserve">устанавливается контроль (надзор), установленных обязательных требований к осуществлению деятельности, что может привести к оказанию некачественных услуг, нанесению вреда здоровью (в случаях оказания </w:t>
      </w:r>
      <w:r>
        <w:rPr>
          <w:i w:val="0"/>
          <w:iCs w:val="0"/>
          <w:sz w:val="26"/>
          <w:szCs w:val="26"/>
          <w:u w:val="none"/>
        </w:rPr>
        <w:t xml:space="preserve">услуг </w:t>
      </w:r>
      <w:r>
        <w:rPr>
          <w:i w:val="0"/>
          <w:iCs w:val="0"/>
          <w:sz w:val="26"/>
          <w:szCs w:val="26"/>
          <w:u w:val="none"/>
        </w:rPr>
        <w:t xml:space="preserve">инструкторами-проводниками)</w:t>
      </w:r>
      <w:r>
        <w:rPr>
          <w:rFonts w:eastAsiaTheme="minorEastAsia"/>
          <w:i w:val="0"/>
          <w:iCs w:val="0"/>
          <w:sz w:val="26"/>
          <w:szCs w:val="26"/>
          <w:u w:val="none"/>
          <w:lang w:eastAsia="ru-RU"/>
        </w:rPr>
        <w:t xml:space="preserve"> </w:t>
      </w:r>
      <w:r>
        <w:rPr>
          <w:i w:val="0"/>
          <w:iCs w:val="0"/>
          <w:sz w:val="26"/>
          <w:szCs w:val="26"/>
          <w:u w:val="none"/>
        </w:rPr>
      </w:r>
      <w:r/>
    </w:p>
    <w:p>
      <w:pPr>
        <w:ind w:firstLine="709"/>
        <w:jc w:val="both"/>
        <w:rPr>
          <w:rFonts w:eastAsia="Calibri"/>
          <w:b/>
          <w:bCs/>
          <w:i w:val="0"/>
          <w:sz w:val="26"/>
          <w:szCs w:val="26"/>
          <w:u w:val="none"/>
        </w:rPr>
      </w:pPr>
      <w:r>
        <w:rPr>
          <w:rFonts w:eastAsia="Calibri"/>
          <w:b/>
          <w:bCs/>
          <w:i w:val="0"/>
          <w:iCs w:val="0"/>
          <w:sz w:val="26"/>
          <w:szCs w:val="26"/>
          <w:u w:val="none"/>
        </w:rPr>
        <w:t xml:space="preserve">2.4. Анализ опыта иных субъектов Российской Федерации </w:t>
      </w:r>
      <w:r>
        <w:rPr>
          <w:rFonts w:eastAsia="Calibri"/>
          <w:b/>
          <w:bCs/>
          <w:i w:val="0"/>
          <w:iCs w:val="0"/>
          <w:sz w:val="26"/>
          <w:szCs w:val="26"/>
          <w:u w:val="none"/>
        </w:rPr>
        <w:br/>
        <w:t xml:space="preserve">в соответствующих сферах деятельности:</w:t>
      </w:r>
      <w:r>
        <w:rPr>
          <w:b/>
          <w:bCs/>
          <w:i w:val="0"/>
          <w:iCs w:val="0"/>
          <w:sz w:val="26"/>
          <w:szCs w:val="26"/>
          <w:u w:val="none"/>
        </w:rPr>
      </w:r>
      <w:r>
        <w:rPr>
          <w:b/>
          <w:bCs/>
        </w:rPr>
      </w:r>
    </w:p>
    <w:p>
      <w:pPr>
        <w:ind w:firstLine="709"/>
        <w:jc w:val="both"/>
        <w:rPr>
          <w:rFonts w:eastAsia="Calibri"/>
          <w:bCs w:val="0"/>
          <w:i w:val="0"/>
          <w:iCs/>
          <w:sz w:val="26"/>
          <w:szCs w:val="26"/>
          <w:u w:val="none"/>
        </w:rPr>
      </w:pPr>
      <w:r>
        <w:rPr>
          <w:rFonts w:eastAsia="Calibri"/>
          <w:i w:val="0"/>
          <w:iCs w:val="0"/>
          <w:sz w:val="26"/>
          <w:szCs w:val="26"/>
          <w:u w:val="none"/>
        </w:rPr>
        <w:t xml:space="preserve">Анализ опыта иных субъектов Российской Федерации показал, что органами исполнительной власти </w:t>
      </w:r>
      <w:r>
        <w:rPr>
          <w:rFonts w:eastAsia="Calibri"/>
          <w:i w:val="0"/>
          <w:iCs w:val="0"/>
          <w:sz w:val="26"/>
          <w:szCs w:val="26"/>
          <w:u w:val="none"/>
        </w:rPr>
        <w:t xml:space="preserve">всех</w:t>
      </w:r>
      <w:r>
        <w:rPr>
          <w:rFonts w:eastAsia="Calibri"/>
          <w:i w:val="0"/>
          <w:iCs w:val="0"/>
          <w:sz w:val="26"/>
          <w:szCs w:val="26"/>
          <w:u w:val="none"/>
        </w:rPr>
        <w:t xml:space="preserve"> субъектов Российской Федерации ведутся работы по разработке/утверждению аналогичных нормативных правовых актов</w:t>
      </w:r>
      <w:r>
        <w:rPr>
          <w:i w:val="0"/>
          <w:iCs w:val="0"/>
          <w:sz w:val="26"/>
          <w:szCs w:val="26"/>
          <w:u w:val="none"/>
          <w:lang w:eastAsia="ru-RU"/>
        </w:rPr>
        <w:t xml:space="preserve">.</w:t>
      </w:r>
      <w:r>
        <w:rPr>
          <w:i w:val="0"/>
          <w:iCs w:val="0"/>
          <w:sz w:val="26"/>
          <w:szCs w:val="26"/>
          <w:u w:val="none"/>
        </w:rPr>
      </w:r>
      <w:r/>
    </w:p>
    <w:p>
      <w:pPr>
        <w:ind w:firstLine="709"/>
        <w:jc w:val="both"/>
        <w:widowControl w:val="off"/>
        <w:rPr>
          <w:b/>
          <w:bCs/>
          <w:i w:val="0"/>
          <w:sz w:val="26"/>
          <w:szCs w:val="26"/>
          <w:u w:val="none"/>
        </w:rPr>
      </w:pPr>
      <w:r>
        <w:rPr>
          <w:b/>
          <w:bCs/>
          <w:i w:val="0"/>
          <w:iCs w:val="0"/>
          <w:sz w:val="26"/>
          <w:szCs w:val="26"/>
          <w:u w:val="none"/>
        </w:rPr>
        <w:t xml:space="preserve">3. Цели вводимого правового регулирования и измеримые показатели их достижения:</w:t>
      </w:r>
      <w:r>
        <w:rPr>
          <w:b/>
          <w:bCs/>
          <w:i w:val="0"/>
          <w:iCs w:val="0"/>
          <w:sz w:val="26"/>
          <w:szCs w:val="26"/>
          <w:u w:val="none"/>
        </w:rPr>
      </w:r>
      <w:r>
        <w:rPr>
          <w:b/>
          <w:bCs/>
        </w:rPr>
      </w:r>
    </w:p>
    <w:p>
      <w:pPr>
        <w:ind w:firstLine="709"/>
        <w:jc w:val="both"/>
        <w:rPr>
          <w:rFonts w:eastAsia="Calibri"/>
          <w:b/>
          <w:bCs/>
          <w:i w:val="0"/>
          <w:sz w:val="26"/>
          <w:szCs w:val="26"/>
          <w:u w:val="none"/>
        </w:rPr>
      </w:pPr>
      <w:r>
        <w:rPr>
          <w:rFonts w:eastAsia="Calibri"/>
          <w:b/>
          <w:bCs/>
          <w:i w:val="0"/>
          <w:iCs w:val="0"/>
          <w:sz w:val="26"/>
          <w:szCs w:val="26"/>
          <w:u w:val="none"/>
        </w:rPr>
        <w:t xml:space="preserve">3.1. Описание целей предлагаемого правового регулирования:</w:t>
      </w:r>
      <w:r>
        <w:rPr>
          <w:b/>
          <w:bCs/>
          <w:i w:val="0"/>
          <w:iCs w:val="0"/>
          <w:sz w:val="26"/>
          <w:szCs w:val="26"/>
          <w:u w:val="none"/>
        </w:rPr>
      </w:r>
      <w:r>
        <w:rPr>
          <w:b/>
          <w:bCs/>
        </w:rPr>
      </w:r>
    </w:p>
    <w:p>
      <w:pPr>
        <w:ind w:left="29" w:right="14" w:firstLine="680"/>
        <w:jc w:val="both"/>
        <w:spacing w:after="9" w:line="266" w:lineRule="auto"/>
        <w:rPr>
          <w:bCs w:val="0"/>
          <w:i w:val="0"/>
          <w:sz w:val="26"/>
          <w:szCs w:val="26"/>
          <w:u w:val="none"/>
        </w:rPr>
      </w:pPr>
      <w:r>
        <w:rPr>
          <w:i w:val="0"/>
          <w:iCs w:val="0"/>
          <w:sz w:val="26"/>
          <w:szCs w:val="26"/>
          <w:u w:val="none"/>
        </w:rPr>
        <w:t xml:space="preserve">Соблюдение контролируемыми лицами (индивидуальными предпринимателями, юридическими и физическими лицами) обязательных требований в сфере туристской деятельности, установленных Федеральным законом № 132-ФЗ и принимаемыми в соответствии с </w:t>
      </w:r>
      <w:r>
        <w:rPr>
          <w:i w:val="0"/>
          <w:iCs w:val="0"/>
          <w:sz w:val="26"/>
          <w:szCs w:val="26"/>
          <w:u w:val="none"/>
        </w:rPr>
        <w:t xml:space="preserve">ним</w:t>
      </w:r>
      <w:r>
        <w:rPr>
          <w:i w:val="0"/>
          <w:iCs w:val="0"/>
          <w:sz w:val="26"/>
          <w:szCs w:val="26"/>
          <w:u w:val="none"/>
        </w:rPr>
        <w:t xml:space="preserve"> нормативными правовыми актами.</w:t>
      </w:r>
      <w:r>
        <w:rPr>
          <w:i w:val="0"/>
          <w:iCs w:val="0"/>
          <w:sz w:val="26"/>
          <w:szCs w:val="26"/>
          <w:u w:val="none"/>
        </w:rPr>
      </w:r>
      <w:r/>
    </w:p>
    <w:p>
      <w:pPr>
        <w:ind w:firstLine="680"/>
        <w:jc w:val="both"/>
        <w:rPr>
          <w:rFonts w:eastAsia="Calibri"/>
          <w:bCs w:val="0"/>
          <w:i w:val="0"/>
          <w:iCs/>
          <w:sz w:val="26"/>
          <w:szCs w:val="26"/>
          <w:u w:val="none"/>
        </w:rPr>
      </w:pPr>
      <w:r>
        <w:rPr>
          <w:i w:val="0"/>
          <w:iCs w:val="0"/>
          <w:sz w:val="26"/>
          <w:szCs w:val="26"/>
          <w:u w:val="none"/>
        </w:rPr>
        <w:t xml:space="preserve">Создание условий для оказания качественных услуг в сфере туристской деятельности на территории Белгородской области.</w:t>
      </w:r>
      <w:r>
        <w:rPr>
          <w:i w:val="0"/>
          <w:iCs w:val="0"/>
          <w:sz w:val="26"/>
          <w:szCs w:val="26"/>
          <w:u w:val="none"/>
        </w:rPr>
      </w:r>
      <w:r/>
    </w:p>
    <w:p>
      <w:pPr>
        <w:ind w:firstLine="709"/>
        <w:jc w:val="both"/>
        <w:rPr>
          <w:rFonts w:eastAsia="Calibri"/>
          <w:b/>
          <w:bCs/>
          <w:i w:val="0"/>
          <w:sz w:val="26"/>
          <w:szCs w:val="26"/>
          <w:u w:val="none"/>
        </w:rPr>
      </w:pPr>
      <w:r>
        <w:rPr>
          <w:rFonts w:eastAsia="Calibri"/>
          <w:b/>
          <w:bCs/>
          <w:i w:val="0"/>
          <w:iCs w:val="0"/>
          <w:sz w:val="26"/>
          <w:szCs w:val="26"/>
          <w:u w:val="none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>
        <w:rPr>
          <w:b/>
          <w:bCs/>
          <w:i w:val="0"/>
          <w:iCs w:val="0"/>
          <w:sz w:val="26"/>
          <w:szCs w:val="26"/>
          <w:u w:val="none"/>
        </w:rPr>
      </w:r>
      <w:r>
        <w:rPr>
          <w:b/>
          <w:bCs/>
        </w:rPr>
      </w:r>
    </w:p>
    <w:p>
      <w:pPr>
        <w:ind w:firstLine="709"/>
        <w:jc w:val="both"/>
        <w:rPr>
          <w:bCs w:val="0"/>
          <w:i w:val="0"/>
          <w:sz w:val="26"/>
          <w:szCs w:val="26"/>
          <w:u w:val="none"/>
        </w:rPr>
      </w:pPr>
      <w:r>
        <w:rPr>
          <w:i w:val="0"/>
          <w:iCs w:val="0"/>
          <w:sz w:val="26"/>
          <w:szCs w:val="26"/>
          <w:u w:val="none"/>
        </w:rPr>
        <w:t xml:space="preserve">- </w:t>
      </w:r>
      <w:r>
        <w:rPr>
          <w:i w:val="0"/>
          <w:iCs w:val="0"/>
          <w:sz w:val="26"/>
          <w:szCs w:val="26"/>
          <w:u w:val="none"/>
        </w:rPr>
        <w:t xml:space="preserve">Федеральный закон от 31.07.2020</w:t>
      </w:r>
      <w:r>
        <w:rPr>
          <w:i w:val="0"/>
          <w:iCs w:val="0"/>
          <w:sz w:val="26"/>
          <w:szCs w:val="26"/>
          <w:u w:val="none"/>
        </w:rPr>
        <w:t xml:space="preserve"> </w:t>
      </w:r>
      <w:r>
        <w:rPr>
          <w:i w:val="0"/>
          <w:iCs w:val="0"/>
          <w:sz w:val="26"/>
          <w:szCs w:val="26"/>
          <w:u w:val="none"/>
        </w:rPr>
        <w:t xml:space="preserve">г.</w:t>
      </w:r>
      <w:r>
        <w:rPr>
          <w:i w:val="0"/>
          <w:iCs w:val="0"/>
          <w:sz w:val="26"/>
          <w:szCs w:val="26"/>
          <w:u w:val="none"/>
        </w:rPr>
        <w:t xml:space="preserve"> № 248-ФЗ «О государственном контроле (надзоре) и муниципальном контроле в Российской Федерации», </w:t>
      </w:r>
      <w:r>
        <w:rPr>
          <w:i w:val="0"/>
          <w:iCs w:val="0"/>
          <w:sz w:val="26"/>
          <w:szCs w:val="26"/>
          <w:u w:val="none"/>
        </w:rPr>
      </w:r>
      <w:r/>
    </w:p>
    <w:p>
      <w:pPr>
        <w:ind w:firstLine="709"/>
        <w:jc w:val="both"/>
        <w:rPr>
          <w:bCs w:val="0"/>
          <w:i w:val="0"/>
          <w:sz w:val="26"/>
          <w:szCs w:val="26"/>
          <w:u w:val="none"/>
        </w:rPr>
      </w:pPr>
      <w:r>
        <w:rPr>
          <w:i w:val="0"/>
          <w:iCs w:val="0"/>
          <w:sz w:val="26"/>
          <w:szCs w:val="26"/>
          <w:u w:val="none"/>
        </w:rPr>
        <w:t xml:space="preserve">- </w:t>
      </w:r>
      <w:r>
        <w:rPr>
          <w:i w:val="0"/>
          <w:iCs w:val="0"/>
          <w:sz w:val="26"/>
          <w:szCs w:val="26"/>
          <w:u w:val="none"/>
        </w:rPr>
        <w:t xml:space="preserve">Федеральный закон от</w:t>
      </w:r>
      <w:r>
        <w:rPr>
          <w:i w:val="0"/>
          <w:iCs w:val="0"/>
          <w:sz w:val="26"/>
          <w:szCs w:val="26"/>
          <w:u w:val="none"/>
        </w:rPr>
        <w:t xml:space="preserve"> </w:t>
      </w:r>
      <w:r>
        <w:rPr>
          <w:i w:val="0"/>
          <w:iCs w:val="0"/>
          <w:sz w:val="26"/>
          <w:szCs w:val="26"/>
          <w:u w:val="none"/>
        </w:rPr>
        <w:t xml:space="preserve">24.11.1996</w:t>
      </w:r>
      <w:r>
        <w:rPr>
          <w:i w:val="0"/>
          <w:iCs w:val="0"/>
          <w:sz w:val="26"/>
          <w:szCs w:val="26"/>
          <w:u w:val="none"/>
        </w:rPr>
        <w:t xml:space="preserve"> г.</w:t>
      </w:r>
      <w:r>
        <w:rPr>
          <w:i w:val="0"/>
          <w:iCs w:val="0"/>
          <w:sz w:val="26"/>
          <w:szCs w:val="26"/>
          <w:u w:val="none"/>
        </w:rPr>
        <w:t xml:space="preserve"> № 132-ФЗ «Об основах туристской деятельности в Российской Феде</w:t>
      </w:r>
      <w:r>
        <w:rPr>
          <w:i w:val="0"/>
          <w:iCs w:val="0"/>
          <w:sz w:val="26"/>
          <w:szCs w:val="26"/>
          <w:u w:val="none"/>
        </w:rPr>
        <w:t xml:space="preserve">р</w:t>
      </w:r>
      <w:r>
        <w:rPr>
          <w:i w:val="0"/>
          <w:iCs w:val="0"/>
          <w:sz w:val="26"/>
          <w:szCs w:val="26"/>
          <w:u w:val="none"/>
        </w:rPr>
        <w:t xml:space="preserve">ации»</w:t>
      </w:r>
      <w:r>
        <w:rPr>
          <w:i w:val="0"/>
          <w:iCs w:val="0"/>
          <w:sz w:val="26"/>
          <w:szCs w:val="26"/>
          <w:u w:val="none"/>
        </w:rPr>
      </w:r>
      <w:r/>
    </w:p>
    <w:p>
      <w:pPr>
        <w:ind w:firstLine="709"/>
        <w:rPr>
          <w:rFonts w:eastAsia="Calibri"/>
          <w:b/>
          <w:bCs/>
          <w:i w:val="0"/>
          <w:sz w:val="26"/>
          <w:szCs w:val="26"/>
          <w:u w:val="none"/>
        </w:rPr>
      </w:pPr>
      <w:r>
        <w:rPr>
          <w:rFonts w:eastAsia="Calibri"/>
          <w:b/>
          <w:bCs/>
          <w:i w:val="0"/>
          <w:iCs w:val="0"/>
          <w:sz w:val="26"/>
          <w:szCs w:val="26"/>
          <w:u w:val="none"/>
        </w:rPr>
        <w:t xml:space="preserve">3.3. Сроки достижения целей предлагаемого правового регулирования:</w:t>
      </w:r>
      <w:r>
        <w:rPr>
          <w:b/>
          <w:bCs/>
          <w:i w:val="0"/>
          <w:iCs w:val="0"/>
          <w:sz w:val="26"/>
          <w:szCs w:val="26"/>
          <w:u w:val="none"/>
        </w:rPr>
      </w:r>
      <w:r>
        <w:rPr>
          <w:b/>
          <w:bCs/>
        </w:rPr>
      </w:r>
    </w:p>
    <w:p>
      <w:pPr>
        <w:jc w:val="both"/>
        <w:rPr>
          <w:rFonts w:eastAsia="Calibri"/>
          <w:bCs w:val="0"/>
          <w:i w:val="0"/>
          <w:sz w:val="26"/>
          <w:szCs w:val="26"/>
          <w:u w:val="none"/>
        </w:rPr>
      </w:pPr>
      <w:r>
        <w:rPr>
          <w:i w:val="0"/>
          <w:iCs w:val="0"/>
          <w:sz w:val="26"/>
          <w:szCs w:val="26"/>
          <w:u w:val="none"/>
        </w:rPr>
        <w:t xml:space="preserve">декабрь 2025 г.</w:t>
      </w:r>
      <w:r/>
    </w:p>
    <w:p>
      <w:pPr>
        <w:ind w:firstLine="709"/>
        <w:jc w:val="both"/>
        <w:rPr>
          <w:rFonts w:eastAsia="Calibri"/>
          <w:b/>
          <w:bCs/>
          <w:i w:val="0"/>
          <w:sz w:val="26"/>
          <w:szCs w:val="26"/>
          <w:u w:val="none"/>
        </w:rPr>
      </w:pPr>
      <w:r>
        <w:rPr>
          <w:rFonts w:eastAsia="Calibri"/>
          <w:b/>
          <w:bCs/>
          <w:i w:val="0"/>
          <w:iCs w:val="0"/>
          <w:sz w:val="26"/>
          <w:szCs w:val="26"/>
          <w:u w:val="none"/>
        </w:rPr>
        <w:t xml:space="preserve">3.4.</w:t>
      </w:r>
      <w:r>
        <w:rPr>
          <w:rFonts w:eastAsia="Calibri"/>
          <w:b/>
          <w:bCs/>
          <w:i w:val="0"/>
          <w:iCs w:val="0"/>
          <w:sz w:val="26"/>
          <w:szCs w:val="26"/>
          <w:u w:val="none"/>
        </w:rPr>
        <w:t xml:space="preserve"> </w:t>
      </w:r>
      <w:r>
        <w:rPr>
          <w:rFonts w:eastAsia="Calibri"/>
          <w:b/>
          <w:bCs/>
          <w:i w:val="0"/>
          <w:iCs w:val="0"/>
          <w:sz w:val="26"/>
          <w:szCs w:val="26"/>
          <w:u w:val="none"/>
        </w:rPr>
        <w:t xml:space="preserve">Иная информация о целях предлагаемого правового регулирования:</w:t>
      </w:r>
      <w:r>
        <w:rPr>
          <w:b/>
          <w:bCs/>
          <w:i w:val="0"/>
          <w:iCs w:val="0"/>
          <w:sz w:val="26"/>
          <w:szCs w:val="26"/>
          <w:u w:val="none"/>
        </w:rPr>
      </w:r>
      <w:r>
        <w:rPr>
          <w:b/>
          <w:bCs/>
        </w:rPr>
      </w:r>
    </w:p>
    <w:p>
      <w:pPr>
        <w:jc w:val="both"/>
        <w:rPr>
          <w:rFonts w:eastAsia="Calibri"/>
          <w:bCs w:val="0"/>
          <w:i w:val="0"/>
          <w:sz w:val="26"/>
          <w:szCs w:val="26"/>
          <w:u w:val="none"/>
        </w:rPr>
      </w:pPr>
      <w:r>
        <w:rPr>
          <w:rFonts w:eastAsia="Calibri"/>
          <w:i w:val="0"/>
          <w:iCs w:val="0"/>
          <w:sz w:val="26"/>
          <w:szCs w:val="26"/>
          <w:u w:val="none"/>
        </w:rPr>
        <w:t xml:space="preserve">о</w:t>
      </w:r>
      <w:r>
        <w:rPr>
          <w:rFonts w:eastAsia="Calibri"/>
          <w:i w:val="0"/>
          <w:iCs w:val="0"/>
          <w:sz w:val="26"/>
          <w:szCs w:val="26"/>
          <w:u w:val="none"/>
        </w:rPr>
        <w:t xml:space="preserve">тсутствует</w:t>
      </w:r>
      <w:r>
        <w:rPr>
          <w:i w:val="0"/>
          <w:iCs w:val="0"/>
          <w:sz w:val="26"/>
          <w:szCs w:val="26"/>
          <w:u w:val="none"/>
        </w:rPr>
      </w:r>
      <w:r/>
    </w:p>
    <w:p>
      <w:pPr>
        <w:contextualSpacing/>
        <w:ind w:left="709"/>
        <w:rPr>
          <w:b/>
          <w:bCs/>
          <w:i w:val="0"/>
          <w:sz w:val="26"/>
          <w:szCs w:val="26"/>
          <w:u w:val="none"/>
        </w:rPr>
      </w:pPr>
      <w:r>
        <w:rPr>
          <w:b/>
          <w:bCs/>
          <w:i w:val="0"/>
          <w:iCs w:val="0"/>
          <w:sz w:val="26"/>
          <w:szCs w:val="26"/>
          <w:u w:val="none"/>
        </w:rPr>
        <w:t xml:space="preserve">4.</w:t>
      </w:r>
      <w:r>
        <w:rPr>
          <w:b/>
          <w:bCs/>
          <w:i w:val="0"/>
          <w:iCs w:val="0"/>
          <w:sz w:val="26"/>
          <w:szCs w:val="26"/>
          <w:u w:val="none"/>
        </w:rPr>
        <w:t xml:space="preserve"> </w:t>
      </w:r>
      <w:r>
        <w:rPr>
          <w:b/>
          <w:bCs/>
          <w:i w:val="0"/>
          <w:iCs w:val="0"/>
          <w:sz w:val="26"/>
          <w:szCs w:val="26"/>
          <w:u w:val="none"/>
        </w:rPr>
        <w:t xml:space="preserve">Описание предлагаемого правового регулирования:</w:t>
      </w:r>
      <w:r>
        <w:rPr>
          <w:b/>
          <w:bCs/>
          <w:i w:val="0"/>
          <w:iCs w:val="0"/>
          <w:sz w:val="26"/>
          <w:szCs w:val="26"/>
          <w:u w:val="none"/>
        </w:rPr>
      </w:r>
      <w:r>
        <w:rPr>
          <w:b/>
          <w:bCs/>
        </w:rPr>
      </w:r>
    </w:p>
    <w:p>
      <w:pPr>
        <w:ind w:firstLine="709"/>
        <w:jc w:val="both"/>
        <w:rPr>
          <w:rFonts w:eastAsia="Calibri"/>
          <w:b/>
          <w:bCs/>
          <w:i w:val="0"/>
          <w:sz w:val="26"/>
          <w:szCs w:val="26"/>
          <w:u w:val="none"/>
        </w:rPr>
      </w:pPr>
      <w:r>
        <w:rPr>
          <w:rFonts w:eastAsia="Calibri"/>
          <w:b/>
          <w:bCs/>
          <w:i w:val="0"/>
          <w:iCs w:val="0"/>
          <w:sz w:val="26"/>
          <w:szCs w:val="26"/>
          <w:u w:val="none"/>
        </w:rPr>
        <w:t xml:space="preserve">4.1.</w:t>
      </w:r>
      <w:r>
        <w:rPr>
          <w:rFonts w:eastAsia="Calibri"/>
          <w:b/>
          <w:bCs/>
          <w:i w:val="0"/>
          <w:iCs w:val="0"/>
          <w:sz w:val="26"/>
          <w:szCs w:val="26"/>
          <w:u w:val="none"/>
        </w:rPr>
        <w:t xml:space="preserve"> </w:t>
      </w:r>
      <w:r>
        <w:rPr>
          <w:rFonts w:eastAsia="Calibri"/>
          <w:b/>
          <w:bCs/>
          <w:i w:val="0"/>
          <w:iCs w:val="0"/>
          <w:sz w:val="26"/>
          <w:szCs w:val="26"/>
          <w:u w:val="none"/>
        </w:rPr>
        <w:t xml:space="preserve">Описание предлагаемого способа решения проблемы и преодоления связанных с ней негативных эффектов:</w:t>
      </w:r>
      <w:r>
        <w:rPr>
          <w:b/>
          <w:bCs/>
          <w:i w:val="0"/>
          <w:iCs w:val="0"/>
          <w:sz w:val="26"/>
          <w:szCs w:val="26"/>
          <w:u w:val="none"/>
        </w:rPr>
      </w:r>
      <w:r>
        <w:rPr>
          <w:b/>
          <w:bCs/>
        </w:rPr>
      </w:r>
    </w:p>
    <w:p>
      <w:pPr>
        <w:pStyle w:val="1_818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  <w:lang w:val="ru" w:eastAsia="ru-RU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  <w:u w:val="none"/>
        </w:rPr>
        <w:t xml:space="preserve">Проектом </w:t>
      </w:r>
      <w:r>
        <w:rPr>
          <w:rFonts w:ascii="Times New Roman" w:hAnsi="Times New Roman" w:cs="Times New Roman"/>
          <w:sz w:val="26"/>
          <w:szCs w:val="26"/>
          <w:lang w:val="ru" w:eastAsia="ru-RU"/>
        </w:rPr>
        <w:t xml:space="preserve">постановления Правительства </w:t>
      </w:r>
      <w:r>
        <w:rPr>
          <w:rFonts w:ascii="Times New Roman" w:hAnsi="Times New Roman" w:cs="Times New Roman"/>
          <w:sz w:val="26"/>
          <w:szCs w:val="26"/>
          <w:lang w:val="ru" w:eastAsia="ru-RU"/>
        </w:rPr>
        <w:t xml:space="preserve">Белгородской </w:t>
      </w:r>
      <w:r>
        <w:rPr>
          <w:rFonts w:ascii="Times New Roman" w:hAnsi="Times New Roman" w:cs="Times New Roman"/>
          <w:sz w:val="26"/>
          <w:szCs w:val="26"/>
          <w:lang w:val="ru" w:eastAsia="ru-RU"/>
        </w:rPr>
        <w:t xml:space="preserve">области </w:t>
      </w:r>
      <w:r>
        <w:rPr>
          <w:rFonts w:ascii="Times New Roman" w:hAnsi="Times New Roman" w:cs="Times New Roman"/>
          <w:sz w:val="26"/>
          <w:szCs w:val="26"/>
          <w:lang w:val="ru"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утверждается Положение </w:t>
      </w:r>
      <w:r>
        <w:rPr>
          <w:rFonts w:ascii="Times New Roman" w:hAnsi="Times New Roman" w:cs="Times New Roman"/>
          <w:sz w:val="26"/>
          <w:szCs w:val="26"/>
        </w:rPr>
        <w:t xml:space="preserve">о региональном государственном контроле (надзоре) в сфере туристской индустрии</w:t>
      </w:r>
      <w:r>
        <w:rPr>
          <w:rFonts w:ascii="Times New Roman" w:hAnsi="Times New Roman" w:cs="Times New Roman"/>
          <w:sz w:val="26"/>
          <w:szCs w:val="26"/>
          <w:lang w:val="ru" w:eastAsia="ru-RU"/>
        </w:rPr>
        <w:t xml:space="preserve">, устанавливающее </w:t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  <w:t xml:space="preserve">порядок организации деятельности по осуществлению регионального государственного контроля (надзора) на территории области за соблюдением юридическими лицами, индивидуальны</w:t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  <w:t xml:space="preserve">ми предпринимателями, физическими лицами обязательных требований</w:t>
      </w:r>
      <w:r>
        <w:rPr>
          <w:rFonts w:ascii="Times New Roman" w:hAnsi="Times New Roman" w:cs="Times New Roman"/>
          <w:sz w:val="26"/>
          <w:szCs w:val="26"/>
          <w:highlight w:val="none"/>
          <w:lang w:val="ru" w:eastAsia="ru-RU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  <w:lang w:val="ru" w:eastAsia="ru-RU"/>
        </w:rPr>
      </w:r>
    </w:p>
    <w:p>
      <w:pPr>
        <w:ind w:right="-1" w:firstLine="709"/>
        <w:jc w:val="both"/>
        <w:tabs>
          <w:tab w:val="left" w:pos="9638" w:leader="none"/>
        </w:tabs>
        <w:rPr>
          <w:b/>
          <w:bCs/>
          <w:i w:val="0"/>
          <w:sz w:val="26"/>
          <w:szCs w:val="26"/>
          <w:u w:val="none"/>
        </w:rPr>
      </w:pPr>
      <w:r>
        <w:rPr>
          <w:b/>
          <w:bCs/>
          <w:i w:val="0"/>
          <w:iCs w:val="0"/>
          <w:sz w:val="26"/>
          <w:szCs w:val="26"/>
          <w:u w:val="none"/>
        </w:rPr>
        <w:t xml:space="preserve">4.2. </w:t>
      </w:r>
      <w:r>
        <w:rPr>
          <w:b/>
          <w:bCs/>
          <w:i w:val="0"/>
          <w:iCs w:val="0"/>
          <w:sz w:val="26"/>
          <w:szCs w:val="26"/>
          <w:u w:val="none"/>
        </w:rPr>
        <w:t xml:space="preserve">Альтернативные варианты решения проблемы: </w:t>
      </w:r>
      <w:r>
        <w:rPr>
          <w:b/>
          <w:bCs/>
          <w:i w:val="0"/>
          <w:iCs w:val="0"/>
          <w:sz w:val="26"/>
          <w:szCs w:val="26"/>
          <w:u w:val="none"/>
        </w:rPr>
      </w:r>
      <w:r>
        <w:rPr>
          <w:b/>
          <w:bCs/>
        </w:rPr>
      </w:r>
    </w:p>
    <w:p>
      <w:pPr>
        <w:pStyle w:val="1_81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П</w:t>
      </w:r>
      <w:r>
        <w:rPr>
          <w:rFonts w:ascii="Times New Roman" w:hAnsi="Times New Roman"/>
          <w:sz w:val="26"/>
          <w:szCs w:val="26"/>
          <w:lang w:val="ru" w:eastAsia="ru-RU"/>
        </w:rPr>
        <w:t xml:space="preserve">роект постановления Правительства </w:t>
      </w:r>
      <w:r>
        <w:rPr>
          <w:rFonts w:ascii="Times New Roman" w:hAnsi="Times New Roman"/>
          <w:sz w:val="26"/>
          <w:szCs w:val="26"/>
          <w:lang w:val="ru" w:eastAsia="ru-RU"/>
        </w:rPr>
        <w:t xml:space="preserve">Белгородской </w:t>
      </w:r>
      <w:r>
        <w:rPr>
          <w:rFonts w:ascii="Times New Roman" w:hAnsi="Times New Roman"/>
          <w:sz w:val="26"/>
          <w:szCs w:val="26"/>
          <w:lang w:val="ru" w:eastAsia="ru-RU"/>
        </w:rPr>
        <w:t xml:space="preserve">области </w:t>
      </w:r>
      <w:r>
        <w:rPr>
          <w:rFonts w:ascii="Times New Roman" w:hAnsi="Times New Roman"/>
          <w:sz w:val="26"/>
          <w:szCs w:val="26"/>
          <w:lang w:val="ru" w:eastAsia="ru-RU"/>
        </w:rPr>
        <w:br/>
        <w:t xml:space="preserve">«</w:t>
      </w:r>
      <w:r>
        <w:rPr>
          <w:rFonts w:ascii="Times New Roman" w:hAnsi="Times New Roman"/>
          <w:sz w:val="26"/>
          <w:szCs w:val="26"/>
          <w:lang w:eastAsia="ru-RU"/>
        </w:rPr>
        <w:t xml:space="preserve">Об утверждении Положения </w:t>
      </w:r>
      <w:r>
        <w:rPr>
          <w:rFonts w:ascii="Times New Roman" w:hAnsi="Times New Roman"/>
          <w:sz w:val="26"/>
          <w:szCs w:val="26"/>
        </w:rPr>
        <w:t xml:space="preserve">о региональном государственном контроле (надзоре) в сфере туристской индустрии</w:t>
      </w:r>
      <w:r>
        <w:rPr>
          <w:rFonts w:ascii="Times New Roman" w:hAnsi="Times New Roman"/>
          <w:sz w:val="26"/>
          <w:szCs w:val="26"/>
          <w:lang w:val="ru" w:eastAsia="ru-RU"/>
        </w:rPr>
        <w:t xml:space="preserve">»</w:t>
      </w:r>
      <w:r>
        <w:rPr>
          <w:rFonts w:ascii="Times New Roman" w:hAnsi="Times New Roman"/>
          <w:sz w:val="26"/>
          <w:szCs w:val="26"/>
          <w:lang w:eastAsia="ru-RU"/>
        </w:rPr>
        <w:t xml:space="preserve"> разработан </w:t>
      </w:r>
      <w:r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 законодательством.</w:t>
      </w:r>
      <w:r/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b/>
          <w:bCs w:val="0"/>
          <w:i w:val="0"/>
          <w:sz w:val="26"/>
          <w:szCs w:val="26"/>
          <w:highlight w:val="none"/>
          <w:u w:val="none"/>
        </w:rPr>
        <w:pBdr>
          <w:right w:val="none" w:color="000000" w:sz="4" w:space="1"/>
        </w:pBdr>
      </w:pPr>
      <w:r>
        <w:rPr>
          <w:rFonts w:eastAsia="Calibri"/>
          <w:b/>
          <w:bCs/>
          <w:i w:val="0"/>
          <w:iCs w:val="0"/>
          <w:sz w:val="26"/>
          <w:szCs w:val="26"/>
          <w:u w:val="none"/>
        </w:rPr>
        <w:t xml:space="preserve">4.3. </w:t>
      </w:r>
      <w:r>
        <w:rPr>
          <w:rFonts w:eastAsia="Calibri"/>
          <w:b/>
          <w:bCs/>
          <w:i w:val="0"/>
          <w:iCs w:val="0"/>
          <w:sz w:val="26"/>
          <w:szCs w:val="26"/>
          <w:u w:val="none"/>
        </w:rPr>
        <w:t xml:space="preserve">Обоснование выбора предлагаемого способа решения проблемы:</w:t>
      </w:r>
      <w:r>
        <w:rPr>
          <w:b/>
          <w:bCs/>
          <w:i w:val="0"/>
          <w:iCs w:val="0"/>
          <w:sz w:val="26"/>
          <w:szCs w:val="26"/>
          <w:u w:val="none"/>
        </w:rPr>
      </w:r>
      <w:r>
        <w:rPr>
          <w:b/>
          <w:bCs/>
        </w:rPr>
      </w:r>
    </w:p>
    <w:p>
      <w:pPr>
        <w:ind w:left="34" w:right="10" w:firstLine="675"/>
        <w:jc w:val="both"/>
        <w:spacing w:line="267" w:lineRule="auto"/>
        <w:rPr>
          <w:bCs w:val="0"/>
          <w:i w:val="0"/>
          <w:sz w:val="26"/>
          <w:szCs w:val="26"/>
          <w:u w:val="none"/>
        </w:rPr>
      </w:pPr>
      <w:r>
        <w:rPr>
          <w:i w:val="0"/>
          <w:iCs w:val="0"/>
          <w:sz w:val="26"/>
          <w:szCs w:val="26"/>
          <w:u w:val="none"/>
        </w:rPr>
        <w:t xml:space="preserve">Федеральным законом от 30.11.2024 № 436-ФЗ «О внесении изменений в Федеральный закон «Об основах туристской деятельности в Российской Федерации» и статью 44 Федерального закона «Об общих пр</w:t>
      </w:r>
      <w:r>
        <w:rPr>
          <w:i w:val="0"/>
          <w:iCs w:val="0"/>
          <w:sz w:val="26"/>
          <w:szCs w:val="26"/>
          <w:u w:val="none"/>
        </w:rPr>
        <w:t xml:space="preserve">инципах организации публичной власти в субъектах Российской Федерации» исполнительные органы субъектов Российской Федерации наделены полномочием по организации и осуществлению регионального государственного контроля (надзора) в сфере туристской индустрии в</w:t>
      </w:r>
      <w:r>
        <w:rPr>
          <w:i w:val="0"/>
          <w:iCs w:val="0"/>
          <w:sz w:val="26"/>
          <w:szCs w:val="26"/>
          <w:u w:val="none"/>
        </w:rPr>
        <w:t xml:space="preserve"> Белгородской</w:t>
      </w:r>
      <w:r>
        <w:rPr>
          <w:i w:val="0"/>
          <w:iCs w:val="0"/>
          <w:sz w:val="26"/>
          <w:szCs w:val="26"/>
          <w:u w:val="none"/>
        </w:rPr>
        <w:t xml:space="preserve"> области, а также по утверждению положения о данном виде контроля надзо</w:t>
      </w:r>
      <w:r>
        <w:rPr>
          <w:i w:val="0"/>
          <w:iCs w:val="0"/>
          <w:sz w:val="26"/>
          <w:szCs w:val="26"/>
          <w:u w:val="none"/>
        </w:rPr>
        <w:t xml:space="preserve">р</w:t>
      </w:r>
      <w:r>
        <w:rPr>
          <w:i w:val="0"/>
          <w:iCs w:val="0"/>
          <w:sz w:val="26"/>
          <w:szCs w:val="26"/>
          <w:u w:val="none"/>
        </w:rPr>
        <w:t xml:space="preserve">а)</w:t>
      </w:r>
      <w:r>
        <w:rPr>
          <w:i w:val="0"/>
          <w:iCs w:val="0"/>
          <w:sz w:val="26"/>
          <w:szCs w:val="26"/>
          <w:u w:val="none"/>
        </w:rPr>
      </w:r>
      <w:r>
        <w:rPr>
          <w:i w:val="0"/>
          <w:iCs w:val="0"/>
          <w:sz w:val="26"/>
          <w:szCs w:val="26"/>
          <w:u w:val="none"/>
        </w:rPr>
      </w:r>
    </w:p>
    <w:p>
      <w:pPr>
        <w:ind w:right="57" w:firstLine="709"/>
        <w:jc w:val="both"/>
        <w:rPr>
          <w:bCs w:val="0"/>
          <w:i w:val="0"/>
          <w:iCs/>
          <w:sz w:val="26"/>
          <w:szCs w:val="26"/>
          <w:u w:val="none"/>
        </w:rPr>
      </w:pPr>
      <w:r>
        <w:rPr>
          <w:rFonts w:eastAsia="Calibri"/>
          <w:i w:val="0"/>
          <w:iCs w:val="0"/>
          <w:sz w:val="26"/>
          <w:szCs w:val="26"/>
          <w:u w:val="none"/>
        </w:rPr>
        <w:t xml:space="preserve">В соответствии с действующим законодательство</w:t>
      </w:r>
      <w:r>
        <w:rPr>
          <w:rFonts w:eastAsia="Calibri"/>
          <w:i w:val="0"/>
          <w:iCs w:val="0"/>
          <w:sz w:val="26"/>
          <w:szCs w:val="26"/>
          <w:u w:val="none"/>
        </w:rPr>
        <w:t xml:space="preserve">м</w:t>
      </w:r>
      <w:r>
        <w:rPr>
          <w:rFonts w:eastAsia="Calibri"/>
          <w:i w:val="0"/>
          <w:iCs w:val="0"/>
          <w:sz w:val="26"/>
          <w:szCs w:val="26"/>
          <w:u w:val="none"/>
        </w:rPr>
        <w:t xml:space="preserve"> в сфере контрольно-надзорной деятельности принятие проекта постановления является единственным способом решения проблемы.</w:t>
      </w:r>
      <w:r>
        <w:rPr>
          <w:i w:val="0"/>
          <w:iCs w:val="0"/>
          <w:sz w:val="26"/>
          <w:szCs w:val="26"/>
          <w:u w:val="none"/>
        </w:rPr>
      </w:r>
      <w:r/>
    </w:p>
    <w:p>
      <w:pPr>
        <w:ind w:firstLine="709"/>
        <w:jc w:val="both"/>
        <w:rPr>
          <w:rFonts w:eastAsia="Calibri"/>
          <w:b/>
          <w:bCs/>
          <w:i w:val="0"/>
          <w:sz w:val="26"/>
          <w:szCs w:val="26"/>
          <w:u w:val="none"/>
        </w:rPr>
        <w:pBdr>
          <w:right w:val="none" w:color="000000" w:sz="4" w:space="1"/>
        </w:pBdr>
      </w:pPr>
      <w:r>
        <w:rPr>
          <w:rFonts w:eastAsia="Calibri"/>
          <w:b/>
          <w:bCs/>
          <w:i w:val="0"/>
          <w:iCs w:val="0"/>
          <w:sz w:val="26"/>
          <w:szCs w:val="26"/>
          <w:u w:val="none"/>
        </w:rPr>
        <w:t xml:space="preserve">4.4.</w:t>
      </w:r>
      <w:r>
        <w:rPr>
          <w:rFonts w:eastAsia="Calibri"/>
          <w:b/>
          <w:bCs/>
          <w:i w:val="0"/>
          <w:iCs w:val="0"/>
          <w:sz w:val="26"/>
          <w:szCs w:val="26"/>
          <w:u w:val="none"/>
        </w:rPr>
        <w:t xml:space="preserve"> </w:t>
      </w:r>
      <w:r>
        <w:rPr>
          <w:rFonts w:eastAsia="Calibri"/>
          <w:b/>
          <w:bCs/>
          <w:i w:val="0"/>
          <w:iCs w:val="0"/>
          <w:sz w:val="26"/>
          <w:szCs w:val="26"/>
          <w:u w:val="none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>
        <w:rPr>
          <w:b/>
          <w:bCs/>
          <w:i w:val="0"/>
          <w:iCs w:val="0"/>
          <w:sz w:val="26"/>
          <w:szCs w:val="26"/>
          <w:u w:val="none"/>
        </w:rPr>
      </w:r>
      <w:r>
        <w:rPr>
          <w:b/>
          <w:bCs/>
        </w:rPr>
      </w:r>
    </w:p>
    <w:p>
      <w:pPr>
        <w:ind w:firstLine="709"/>
        <w:jc w:val="both"/>
        <w:rPr>
          <w:rFonts w:eastAsia="Calibri"/>
          <w:sz w:val="16"/>
          <w:szCs w:val="16"/>
        </w:rPr>
        <w:pBdr>
          <w:right w:val="none" w:color="000000" w:sz="4" w:space="1"/>
        </w:pBdr>
      </w:pPr>
      <w:r>
        <w:rPr>
          <w:rFonts w:eastAsia="Calibri"/>
          <w:sz w:val="16"/>
          <w:szCs w:val="16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9"/>
        <w:gridCol w:w="2127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9" w:type="dxa"/>
            <w:textDirection w:val="lrTb"/>
            <w:noWrap w:val="false"/>
          </w:tcPr>
          <w:p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Оценка количества участников отношений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9" w:type="dxa"/>
            <w:vAlign w:val="center"/>
            <w:textDirection w:val="lrTb"/>
            <w:noWrap w:val="false"/>
          </w:tcPr>
          <w:p>
            <w:pPr>
              <w:ind w:left="19" w:right="223" w:firstLine="14"/>
              <w:jc w:val="both"/>
              <w:spacing w:after="29" w:line="242" w:lineRule="auto"/>
              <w:rPr>
                <w:rFonts w:eastAsia="Calibri"/>
                <w:bCs w:val="0"/>
                <w:i w:val="0"/>
                <w:iCs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Юридические лица</w:t>
            </w:r>
            <w:r>
              <w:rPr>
                <w:i w:val="0"/>
                <w:iCs w:val="0"/>
                <w:sz w:val="24"/>
                <w:szCs w:val="24"/>
              </w:rPr>
              <w:t xml:space="preserve">, индивидуальные предприниматели и физические лица, представляющие услуги по временному размещению (средства </w:t>
            </w:r>
            <w:r>
              <w:rPr>
                <w:i w:val="0"/>
                <w:iCs w:val="0"/>
                <w:sz w:val="24"/>
                <w:szCs w:val="24"/>
              </w:rPr>
              <w:t xml:space="preserve">размещения), услуги горнолыжных трасс или пляжей</w:t>
            </w:r>
            <w:r>
              <w:rPr>
                <w:i w:val="0"/>
                <w:iCs w:val="0"/>
                <w:sz w:val="24"/>
                <w:szCs w:val="24"/>
              </w:rPr>
              <w:t xml:space="preserve">, </w:t>
            </w:r>
            <w:r>
              <w:rPr>
                <w:i w:val="0"/>
                <w:iCs w:val="0"/>
                <w:sz w:val="24"/>
                <w:szCs w:val="24"/>
              </w:rPr>
              <w:t xml:space="preserve">услуги экскурсоводов</w:t>
            </w: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  <w:sz w:val="24"/>
                <w:szCs w:val="24"/>
              </w:rPr>
              <w:t xml:space="preserve">(гидов), гидов-переводчиков и инструкторов</w:t>
            </w:r>
            <w:r>
              <w:rPr>
                <w:i w:val="0"/>
                <w:iCs w:val="0"/>
                <w:sz w:val="24"/>
                <w:szCs w:val="24"/>
              </w:rPr>
              <w:t xml:space="preserve">-проводников</w:t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Cs w:val="0"/>
                <w:i w:val="0"/>
                <w:sz w:val="24"/>
                <w:szCs w:val="24"/>
              </w:rPr>
            </w:pPr>
            <w:r>
              <w:rPr>
                <w:rFonts w:eastAsia="Calibri"/>
                <w:i w:val="0"/>
                <w:iCs w:val="0"/>
                <w:sz w:val="24"/>
                <w:szCs w:val="24"/>
              </w:rPr>
              <w:t xml:space="preserve">По результатам оценки </w:t>
            </w:r>
            <w:r>
              <w:rPr>
                <w:rFonts w:eastAsia="Calibri"/>
                <w:i w:val="0"/>
                <w:iCs w:val="0"/>
                <w:sz w:val="24"/>
                <w:szCs w:val="24"/>
              </w:rPr>
              <w:t xml:space="preserve">потенциальных участников не менее </w:t>
            </w:r>
            <w:r>
              <w:rPr>
                <w:rFonts w:eastAsia="Calibri"/>
                <w:i w:val="0"/>
                <w:iCs w:val="0"/>
                <w:sz w:val="24"/>
                <w:szCs w:val="24"/>
              </w:rPr>
              <w:t xml:space="preserve">250</w:t>
            </w:r>
            <w:r>
              <w:rPr>
                <w:i w:val="0"/>
                <w:iCs w:val="0"/>
              </w:rPr>
            </w:r>
          </w:p>
        </w:tc>
      </w:tr>
    </w:tbl>
    <w:p>
      <w:pPr>
        <w:ind w:firstLine="709"/>
        <w:jc w:val="both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</w:r>
      <w:r/>
    </w:p>
    <w:p>
      <w:pPr>
        <w:ind w:firstLine="709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4.5. </w:t>
      </w:r>
      <w:r>
        <w:rPr>
          <w:rFonts w:eastAsia="Calibri"/>
          <w:b/>
          <w:bCs/>
          <w:sz w:val="26"/>
          <w:szCs w:val="26"/>
        </w:rPr>
        <w:t xml:space="preserve">Оценка изменений обязанностей, ограничений и преимуществ, расходов и доходов, а также ожидаемых издержек и выгод 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>
        <w:rPr>
          <w:b/>
          <w:bCs/>
          <w:sz w:val="26"/>
          <w:szCs w:val="26"/>
        </w:rPr>
      </w:r>
    </w:p>
    <w:tbl>
      <w:tblPr>
        <w:tblpPr w:horzAnchor="margin" w:tblpXSpec="left" w:vertAnchor="text" w:tblpY="69" w:leftFromText="181" w:topFromText="0" w:rightFromText="181" w:bottomFromText="0"/>
        <w:tblW w:w="9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9"/>
        <w:gridCol w:w="4990"/>
        <w:gridCol w:w="234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right="57"/>
              <w:jc w:val="center"/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textDirection w:val="lrTb"/>
            <w:noWrap w:val="false"/>
          </w:tcPr>
          <w:p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Описание новых преимуществ, обязанностей, ограничений </w:t>
            </w:r>
            <w:r>
              <w:rPr>
                <w:rFonts w:eastAsia="Calibri"/>
                <w:b/>
              </w:rPr>
              <w:br/>
              <w:t xml:space="preserve">или изменения содержания существующих обязанностей и ограничений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textDirection w:val="lrTb"/>
            <w:noWrap w:val="false"/>
          </w:tcPr>
          <w:p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Оценка изменения расходов/доходов,</w:t>
            </w:r>
            <w:r/>
          </w:p>
          <w:p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издержек/выгод,</w:t>
            </w:r>
            <w:r/>
          </w:p>
          <w:p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руб.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right="57"/>
              <w:jc w:val="center"/>
              <w:rPr>
                <w:rFonts w:eastAsia="Calibri"/>
                <w:b/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Организации, индивидуальные предприниматели и физические лица, представляющие услуги по временному размещению (средства размещения), услуги горнолыжных трасс или пляжей, услуги экскурсоводов (гидов), гидов-переводчиков и инструкторов-проводников</w:t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0" w:type="dxa"/>
            <w:textDirection w:val="lrTb"/>
            <w:noWrap w:val="false"/>
          </w:tcPr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1) в отношении деятельности, связанной с использованием средств размещения: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</w:t>
            </w:r>
            <w:r>
              <w:rPr>
                <w:i w:val="0"/>
                <w:iCs w:val="0"/>
                <w:sz w:val="24"/>
                <w:szCs w:val="24"/>
              </w:rPr>
              <w:t xml:space="preserve">наличие сведений о средстве размещения в реестре классифицированных средств</w:t>
            </w: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  <w:sz w:val="24"/>
                <w:szCs w:val="24"/>
              </w:rPr>
              <w:t xml:space="preserve">размещения; соответствие сред</w:t>
            </w:r>
            <w:r>
              <w:rPr>
                <w:i w:val="0"/>
                <w:iCs w:val="0"/>
                <w:sz w:val="24"/>
                <w:szCs w:val="24"/>
              </w:rPr>
              <w:t xml:space="preserve">ства размещения требованиям к соответствующему типу средств размещения, установленным положением о классификации средств размещения; соответствие средства размещения типу и (или) типу и категории, указанным в реестре классифицированных средств размещения; 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</w:t>
            </w:r>
            <w:r>
              <w:rPr>
                <w:i w:val="0"/>
                <w:iCs w:val="0"/>
                <w:sz w:val="24"/>
                <w:szCs w:val="24"/>
              </w:rPr>
              <w:t xml:space="preserve">соответст</w:t>
            </w:r>
            <w:r>
              <w:rPr>
                <w:i w:val="0"/>
                <w:iCs w:val="0"/>
                <w:sz w:val="24"/>
                <w:szCs w:val="24"/>
              </w:rPr>
              <w:t xml:space="preserve">вие типа и (или) категории средства размещения, используемых в рекламе, названии средства размещения, а также в деятельности, связанной с использованием средства размещения, типу и (или) категории, указанным в реестре классифицированных средств размещения;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</w:t>
            </w:r>
            <w:r>
              <w:rPr>
                <w:i w:val="0"/>
                <w:iCs w:val="0"/>
                <w:sz w:val="24"/>
                <w:szCs w:val="24"/>
              </w:rPr>
              <w:t xml:space="preserve">наличие ссылки в информационно-телекоммуникационной сети «Интернет» на запис</w:t>
            </w:r>
            <w:r>
              <w:rPr>
                <w:i w:val="0"/>
                <w:iCs w:val="0"/>
                <w:sz w:val="24"/>
                <w:szCs w:val="24"/>
              </w:rPr>
              <w:t xml:space="preserve">ь в реестре классифицированных средств размещения, содержащую сведения о средстве размещения, а также соответствие сведений о средстве размещения, представленных в информации о предоставлении услуг средства размещения, гостиничных услуг на сайте владельца </w:t>
            </w:r>
            <w:r>
              <w:rPr>
                <w:i w:val="0"/>
                <w:iCs w:val="0"/>
                <w:sz w:val="24"/>
                <w:szCs w:val="24"/>
              </w:rPr>
              <w:t xml:space="preserve">агрегатора</w:t>
            </w:r>
            <w:r>
              <w:rPr>
                <w:i w:val="0"/>
                <w:iCs w:val="0"/>
                <w:sz w:val="24"/>
                <w:szCs w:val="24"/>
              </w:rPr>
              <w:t xml:space="preserve"> информации об услугах или владельца сервиса размещения объявлений в сети «Интернет», аналогичным сведениям о средстве размещения, указанным в реестре классифицированных средств размещения;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</w:t>
            </w:r>
            <w:r>
              <w:rPr>
                <w:i w:val="0"/>
                <w:iCs w:val="0"/>
                <w:sz w:val="24"/>
                <w:szCs w:val="24"/>
              </w:rPr>
              <w:t xml:space="preserve">соблюдение правил оказания гостиничных услуг, услуг средств размещения (при наличии) (за исключением требований, относящихся к предмету федерального государственного контроля (надзора) в области защиты прав потребителей);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2) </w:t>
            </w:r>
            <w:r>
              <w:rPr>
                <w:i w:val="0"/>
                <w:iCs w:val="0"/>
                <w:sz w:val="24"/>
                <w:szCs w:val="24"/>
              </w:rPr>
              <w:t xml:space="preserve">в отношении деятельности, связанной с использованием горнолыжных трасс или пляжей</w:t>
            </w:r>
            <w:r>
              <w:rPr>
                <w:i w:val="0"/>
                <w:iCs w:val="0"/>
                <w:sz w:val="24"/>
                <w:szCs w:val="24"/>
              </w:rPr>
              <w:t xml:space="preserve">: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</w:t>
            </w:r>
            <w:r>
              <w:rPr>
                <w:i w:val="0"/>
                <w:iCs w:val="0"/>
                <w:sz w:val="24"/>
                <w:szCs w:val="24"/>
              </w:rPr>
              <w:t xml:space="preserve">соблюдение обязательных требований в части соответствия категории горнолыжной трассы или категории пляжа, используемых в</w:t>
            </w:r>
            <w:r>
              <w:rPr>
                <w:i w:val="0"/>
                <w:iCs w:val="0"/>
                <w:sz w:val="24"/>
                <w:szCs w:val="24"/>
              </w:rPr>
              <w:t xml:space="preserve"> рекламе, названии горнолыжной трассы или пляжа и деятельности, связанной с использованием горнолыжной трассы или пляжа, категории горнолыжной трассы или пляжа, указанным в реестре классифицированных горнолыжных трасс или реестре классифицированных пляжей;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3) </w:t>
            </w:r>
            <w:r>
              <w:rPr>
                <w:i w:val="0"/>
                <w:iCs w:val="0"/>
                <w:sz w:val="24"/>
                <w:szCs w:val="24"/>
              </w:rPr>
              <w:t xml:space="preserve">в отношении деятельности экскурсоводов (гидов), гидов-переводчиков (за исключением случаев оказания услуг экскурсоводом (гидом) и гидом-переводчиком на особо охраняемых природных территориях):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</w:t>
            </w:r>
            <w:r>
              <w:rPr>
                <w:i w:val="0"/>
                <w:iCs w:val="0"/>
                <w:sz w:val="24"/>
                <w:szCs w:val="24"/>
              </w:rPr>
              <w:t xml:space="preserve">наличие действующей аттестации и нагрудной идентификационной карточки экскурсоводов (гидов) и гидов-переводчиков при оказании ими услуг; 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</w:t>
            </w:r>
            <w:r>
              <w:rPr>
                <w:i w:val="0"/>
                <w:iCs w:val="0"/>
                <w:sz w:val="24"/>
                <w:szCs w:val="24"/>
              </w:rPr>
              <w:t xml:space="preserve">соблюдение правил оказания</w:t>
            </w: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  <w:sz w:val="24"/>
                <w:szCs w:val="24"/>
              </w:rPr>
              <w:t xml:space="preserve">услуг экскурсоводом (гидом) и гидом-переводчиком (за исключением требований, относящихся к предмету федерального государственного контроля (надзора) в области защиты прав потребителей);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4) в отношении деятельности инструкторов-проводников (за исключением случаев оказания услуг инструктора-проводника на особо охраняемых природных территориях):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</w:t>
            </w:r>
            <w:r>
              <w:rPr>
                <w:i w:val="0"/>
                <w:iCs w:val="0"/>
                <w:sz w:val="24"/>
                <w:szCs w:val="24"/>
              </w:rPr>
              <w:t xml:space="preserve">наличие действующей аттестации и нагрудной идентификационной карточки у инструктора-проводника при оказании им услуг; 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</w:t>
            </w:r>
            <w:r>
              <w:rPr>
                <w:i w:val="0"/>
                <w:iCs w:val="0"/>
                <w:sz w:val="24"/>
                <w:szCs w:val="24"/>
              </w:rPr>
              <w:t xml:space="preserve">направление инструктором-проводником уведомления о сопровождении туристов (экскурсантов) на туристском маршруте, требующем специального сопровождения;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</w:t>
            </w:r>
            <w:r>
              <w:rPr>
                <w:i w:val="0"/>
                <w:iCs w:val="0"/>
                <w:sz w:val="24"/>
                <w:szCs w:val="24"/>
              </w:rPr>
              <w:t xml:space="preserve"> сопровождение туристов (экскурсантов) инструктором-проводником при посещении (прохождении) туристских маршрутов, требующих специального сопровождения;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rFonts w:eastAsia="Calibri"/>
                <w:b/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</w:t>
            </w:r>
            <w:r>
              <w:rPr>
                <w:i w:val="0"/>
                <w:iCs w:val="0"/>
                <w:sz w:val="24"/>
                <w:szCs w:val="24"/>
              </w:rPr>
              <w:t xml:space="preserve"> соблюдение правил оказания услуг инструктора-проводника</w:t>
            </w:r>
            <w:r>
              <w:rPr>
                <w:i w:val="0"/>
                <w:iCs w:val="0"/>
                <w:sz w:val="24"/>
                <w:szCs w:val="24"/>
              </w:rPr>
              <w:t xml:space="preserve"> (за </w:t>
            </w:r>
            <w:r>
              <w:rPr>
                <w:i w:val="0"/>
                <w:iCs w:val="0"/>
                <w:sz w:val="24"/>
                <w:szCs w:val="24"/>
              </w:rPr>
              <w:t xml:space="preserve">исключением требований, относящихся к предмету федерального государственного контроля (надзора) в области защиты прав потребителей)</w:t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textDirection w:val="lrTb"/>
            <w:noWrap w:val="false"/>
          </w:tcPr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В отношении деятельности, связанной с использованием средств размещения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Минимальные расходы по классификации средства размещения: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оплата услуг аккредитованной организации — 15 000,0 рублей;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установка информационного знака о присвоении средству размещения категории — 6 000,0 рублей.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Срок действия классификации — 3 года.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В настоящее время в Белгородской области осуществляют деятельность около 200 средств размещения.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2) </w:t>
            </w:r>
            <w:r>
              <w:rPr>
                <w:i w:val="0"/>
                <w:iCs w:val="0"/>
                <w:sz w:val="24"/>
                <w:szCs w:val="24"/>
              </w:rPr>
              <w:t xml:space="preserve">В</w:t>
            </w:r>
            <w:r>
              <w:rPr>
                <w:i w:val="0"/>
                <w:iCs w:val="0"/>
                <w:sz w:val="24"/>
                <w:szCs w:val="24"/>
              </w:rPr>
              <w:t xml:space="preserve"> отношении деятельности, связанной с использованием горнолыжных трасс или пляжей, оценить расходы хозяйствующих субъектов по классификации горнолыжных трасс или пляжей не </w:t>
            </w:r>
            <w:r>
              <w:rPr>
                <w:i w:val="0"/>
                <w:iCs w:val="0"/>
                <w:sz w:val="24"/>
                <w:szCs w:val="24"/>
              </w:rPr>
              <w:t xml:space="preserve">представляется возможным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3, 4) </w:t>
            </w:r>
            <w:r>
              <w:rPr>
                <w:i w:val="0"/>
                <w:iCs w:val="0"/>
                <w:sz w:val="24"/>
                <w:szCs w:val="24"/>
              </w:rPr>
              <w:t xml:space="preserve">В</w:t>
            </w:r>
            <w:r>
              <w:rPr>
                <w:i w:val="0"/>
                <w:iCs w:val="0"/>
                <w:sz w:val="24"/>
                <w:szCs w:val="24"/>
              </w:rPr>
              <w:t xml:space="preserve"> отношении деятельности экскурсоводов (гидов), гидов-переводчиков и инструкторов-проводников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Расходы на прохождение соответствующего вида аттестации (государственная пошлина) составляют 2 000,0 рублей.</w:t>
            </w:r>
            <w:r>
              <w:rPr>
                <w:i w:val="0"/>
                <w:iCs w:val="0"/>
              </w:rPr>
            </w:r>
          </w:p>
          <w:p>
            <w:pPr>
              <w:pStyle w:val="741"/>
              <w:rPr>
                <w:b/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Срок подтверждения аттестации — раз в 5 лет.</w:t>
            </w:r>
            <w:r>
              <w:rPr>
                <w:i w:val="0"/>
                <w:iCs w:val="0"/>
              </w:rPr>
            </w:r>
          </w:p>
          <w:p>
            <w:pPr>
              <w:ind w:right="57"/>
              <w:jc w:val="center"/>
              <w:rPr>
                <w:rFonts w:eastAsia="Calibri"/>
                <w:b/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По состоянию на 18.02.2025 в Белгородской области аттестованы 45 экскурсоводов</w:t>
            </w:r>
            <w:r>
              <w:rPr>
                <w:i w:val="0"/>
                <w:iCs w:val="0"/>
              </w:rPr>
            </w:r>
          </w:p>
        </w:tc>
      </w:tr>
    </w:tbl>
    <w:p>
      <w:pPr>
        <w:ind w:firstLine="709"/>
        <w:jc w:val="both"/>
        <w:rPr>
          <w:rFonts w:eastAsia="Calibri"/>
          <w:b/>
          <w:bCs/>
          <w:sz w:val="26"/>
          <w:szCs w:val="26"/>
        </w:rPr>
        <w:pBdr>
          <w:top w:val="none" w:color="000000" w:sz="4" w:space="31"/>
        </w:pBdr>
      </w:pPr>
      <w:r>
        <w:rPr>
          <w:rFonts w:eastAsia="Calibri"/>
          <w:b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</w:t>
      </w:r>
      <w:r>
        <w:rPr>
          <w:b/>
          <w:bCs/>
          <w:sz w:val="26"/>
          <w:szCs w:val="26"/>
        </w:rPr>
      </w:r>
    </w:p>
    <w:p>
      <w:pPr>
        <w:ind w:firstLine="709"/>
        <w:jc w:val="both"/>
        <w:rPr>
          <w:rFonts w:eastAsia="Calibri"/>
          <w:b/>
          <w:bCs/>
          <w:sz w:val="16"/>
          <w:szCs w:val="16"/>
        </w:rPr>
        <w:pBdr>
          <w:top w:val="none" w:color="000000" w:sz="4" w:space="31"/>
        </w:pBdr>
      </w:pPr>
      <w:r>
        <w:rPr>
          <w:rFonts w:eastAsia="Calibri"/>
          <w:b/>
          <w:bCs/>
          <w:sz w:val="16"/>
          <w:szCs w:val="16"/>
        </w:rPr>
      </w:r>
      <w:r>
        <w:rPr>
          <w:b/>
          <w:bCs/>
        </w:rPr>
      </w:r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4110"/>
        <w:gridCol w:w="283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2" w:type="dxa"/>
            <w:vAlign w:val="center"/>
            <w:textDirection w:val="lrTb"/>
            <w:noWrap w:val="false"/>
          </w:tcPr>
          <w:p>
            <w:pPr>
              <w:rPr>
                <w:rFonts w:eastAsia="Calibri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eastAsia="Calibri"/>
                <w:i w:val="0"/>
                <w:iCs w:val="0"/>
                <w:sz w:val="24"/>
                <w:szCs w:val="24"/>
              </w:rPr>
              <w:t xml:space="preserve">Управление по туризму Белгородской области</w:t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</w:t>
            </w:r>
            <w:r>
              <w:rPr>
                <w:i w:val="0"/>
                <w:iCs w:val="0"/>
                <w:sz w:val="24"/>
                <w:szCs w:val="24"/>
              </w:rPr>
              <w:t xml:space="preserve">принятие решения о проведении контрольных</w:t>
            </w:r>
            <w:r>
              <w:rPr>
                <w:i w:val="0"/>
                <w:iCs w:val="0"/>
                <w:sz w:val="24"/>
                <w:szCs w:val="24"/>
              </w:rPr>
              <w:tab/>
              <w:t xml:space="preserve">(надзорных) ме</w:t>
            </w:r>
            <w:r>
              <w:rPr>
                <w:i w:val="0"/>
                <w:iCs w:val="0"/>
                <w:sz w:val="24"/>
                <w:szCs w:val="24"/>
              </w:rPr>
              <w:t xml:space="preserve">ропр</w:t>
            </w:r>
            <w:r>
              <w:rPr>
                <w:i w:val="0"/>
                <w:iCs w:val="0"/>
                <w:sz w:val="24"/>
                <w:szCs w:val="24"/>
              </w:rPr>
              <w:t xml:space="preserve">иятий</w:t>
            </w:r>
            <w:r>
              <w:rPr>
                <w:i w:val="0"/>
                <w:iCs w:val="0"/>
                <w:sz w:val="24"/>
                <w:szCs w:val="24"/>
              </w:rPr>
              <w:t xml:space="preserve">;</w:t>
            </w:r>
            <w:r>
              <w:rPr>
                <w:i w:val="0"/>
                <w:iCs w:val="0"/>
              </w:rPr>
            </w:r>
          </w:p>
          <w:p>
            <w:pPr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</w:t>
            </w:r>
            <w:r>
              <w:rPr>
                <w:i w:val="0"/>
                <w:iCs w:val="0"/>
                <w:sz w:val="24"/>
                <w:szCs w:val="24"/>
              </w:rPr>
              <w:t xml:space="preserve">ведение</w:t>
            </w: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  <w:sz w:val="24"/>
                <w:szCs w:val="24"/>
              </w:rPr>
              <w:t xml:space="preserve">реестра</w:t>
            </w: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  <w:sz w:val="24"/>
                <w:szCs w:val="24"/>
              </w:rPr>
              <w:t xml:space="preserve">объектов контроля</w:t>
            </w:r>
            <w:r>
              <w:rPr>
                <w:i w:val="0"/>
                <w:iCs w:val="0"/>
                <w:sz w:val="24"/>
                <w:szCs w:val="24"/>
              </w:rPr>
              <w:t xml:space="preserve">;</w:t>
            </w:r>
            <w:r>
              <w:rPr>
                <w:i w:val="0"/>
                <w:iCs w:val="0"/>
              </w:rPr>
            </w:r>
          </w:p>
          <w:p>
            <w:pPr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</w:t>
            </w:r>
            <w:r>
              <w:rPr>
                <w:i w:val="0"/>
                <w:iCs w:val="0"/>
                <w:sz w:val="24"/>
                <w:szCs w:val="24"/>
              </w:rPr>
              <w:t xml:space="preserve">проведение</w:t>
            </w: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  <w:sz w:val="24"/>
                <w:szCs w:val="24"/>
              </w:rPr>
              <w:t xml:space="preserve">профилактических мероприятий</w:t>
            </w:r>
            <w:r>
              <w:rPr>
                <w:i w:val="0"/>
                <w:iCs w:val="0"/>
                <w:sz w:val="24"/>
                <w:szCs w:val="24"/>
              </w:rPr>
              <w:t xml:space="preserve">;</w:t>
            </w:r>
            <w:r>
              <w:rPr>
                <w:i w:val="0"/>
                <w:iCs w:val="0"/>
              </w:rPr>
            </w:r>
          </w:p>
          <w:p>
            <w:pPr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</w:t>
            </w:r>
            <w:r>
              <w:rPr>
                <w:i w:val="0"/>
                <w:iCs w:val="0"/>
                <w:sz w:val="24"/>
                <w:szCs w:val="24"/>
              </w:rPr>
              <w:t xml:space="preserve">проведение</w:t>
            </w: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  <w:sz w:val="24"/>
                <w:szCs w:val="24"/>
              </w:rPr>
              <w:t xml:space="preserve">контрольных (надзорных) мероприятий</w:t>
            </w:r>
            <w:r>
              <w:rPr>
                <w:i w:val="0"/>
                <w:iCs w:val="0"/>
                <w:sz w:val="24"/>
                <w:szCs w:val="24"/>
              </w:rPr>
              <w:t xml:space="preserve">;</w:t>
            </w:r>
            <w:r>
              <w:rPr>
                <w:i w:val="0"/>
                <w:iCs w:val="0"/>
              </w:rPr>
            </w:r>
          </w:p>
          <w:p>
            <w:pPr>
              <w:rPr>
                <w:rFonts w:eastAsia="Calibri"/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</w:t>
            </w:r>
            <w:r>
              <w:rPr>
                <w:i w:val="0"/>
                <w:iCs w:val="0"/>
                <w:sz w:val="24"/>
                <w:szCs w:val="24"/>
              </w:rPr>
              <w:t xml:space="preserve">подготовка доклада о правоприменительной практике, ре</w:t>
            </w:r>
            <w:r>
              <w:rPr>
                <w:i w:val="0"/>
                <w:iCs w:val="0"/>
                <w:sz w:val="24"/>
                <w:szCs w:val="24"/>
              </w:rPr>
              <w:t xml:space="preserve">гиональном государственном контр</w:t>
            </w:r>
            <w:r>
              <w:rPr>
                <w:i w:val="0"/>
                <w:iCs w:val="0"/>
                <w:sz w:val="24"/>
                <w:szCs w:val="24"/>
              </w:rPr>
              <w:t xml:space="preserve">оле </w:t>
            </w:r>
            <w:r>
              <w:rPr>
                <w:i w:val="0"/>
                <w:iCs w:val="0"/>
                <w:sz w:val="24"/>
                <w:szCs w:val="24"/>
              </w:rPr>
              <w:t xml:space="preserve">(надзор</w:t>
            </w:r>
            <w:r>
              <w:rPr>
                <w:i w:val="0"/>
                <w:iCs w:val="0"/>
                <w:sz w:val="24"/>
                <w:szCs w:val="24"/>
              </w:rPr>
              <w:t xml:space="preserve">е)</w:t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after="11" w:line="238" w:lineRule="auto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Затраты на проведение контрольной закупки</w:t>
            </w: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</w:rPr>
            </w:r>
          </w:p>
          <w:p>
            <w:pPr>
              <w:jc w:val="both"/>
              <w:rPr>
                <w:rFonts w:eastAsia="Calibri"/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(стоимость экскурсии, стоимость номе</w:t>
            </w:r>
            <w:r>
              <w:rPr>
                <w:i w:val="0"/>
                <w:iCs w:val="0"/>
                <w:sz w:val="24"/>
                <w:szCs w:val="24"/>
              </w:rPr>
              <w:t xml:space="preserve">р</w:t>
            </w:r>
            <w:r>
              <w:rPr>
                <w:i w:val="0"/>
                <w:iCs w:val="0"/>
                <w:sz w:val="24"/>
                <w:szCs w:val="24"/>
              </w:rPr>
              <w:t xml:space="preserve">а</w:t>
            </w:r>
            <w:r>
              <w:rPr>
                <w:i w:val="0"/>
                <w:iCs w:val="0"/>
                <w:sz w:val="24"/>
                <w:szCs w:val="24"/>
              </w:rPr>
              <w:t xml:space="preserve">)</w:t>
            </w:r>
            <w:r>
              <w:rPr>
                <w:i w:val="0"/>
                <w:iCs w:val="0"/>
              </w:rPr>
            </w:r>
          </w:p>
        </w:tc>
      </w:tr>
    </w:tbl>
    <w:p>
      <w:pPr>
        <w:ind w:firstLine="709"/>
        <w:jc w:val="both"/>
        <w:rPr>
          <w:rFonts w:eastAsia="Calibri"/>
          <w:bCs w:val="0"/>
          <w:i w:val="0"/>
          <w:sz w:val="16"/>
          <w:szCs w:val="16"/>
        </w:rPr>
      </w:pPr>
      <w:r>
        <w:rPr>
          <w:rFonts w:eastAsia="Calibri"/>
          <w:i w:val="0"/>
          <w:iCs w:val="0"/>
          <w:sz w:val="16"/>
          <w:szCs w:val="16"/>
        </w:rPr>
      </w:r>
      <w:r>
        <w:rPr>
          <w:i w:val="0"/>
          <w:iCs w:val="0"/>
        </w:rPr>
      </w:r>
    </w:p>
    <w:p>
      <w:pPr>
        <w:ind w:firstLine="709"/>
        <w:jc w:val="both"/>
        <w:rPr>
          <w:rFonts w:eastAsia="Calibri"/>
          <w:bCs w:val="0"/>
          <w:i w:val="0"/>
          <w:sz w:val="26"/>
          <w:szCs w:val="26"/>
        </w:rPr>
      </w:pPr>
      <w:r>
        <w:rPr>
          <w:rFonts w:eastAsia="Calibri"/>
          <w:i w:val="0"/>
          <w:iCs w:val="0"/>
          <w:sz w:val="26"/>
          <w:szCs w:val="26"/>
        </w:rPr>
        <w:t xml:space="preserve">4.7. </w:t>
      </w:r>
      <w:r>
        <w:rPr>
          <w:rFonts w:eastAsia="Calibri"/>
          <w:i w:val="0"/>
          <w:iCs w:val="0"/>
          <w:sz w:val="26"/>
          <w:szCs w:val="26"/>
        </w:rPr>
        <w:t xml:space="preserve">Оценка расходов (возможных поступлений) консолидированного бюджета Белгородской области:</w:t>
      </w:r>
      <w:r>
        <w:rPr>
          <w:i w:val="0"/>
          <w:iCs w:val="0"/>
          <w:sz w:val="26"/>
          <w:szCs w:val="26"/>
        </w:rPr>
      </w:r>
    </w:p>
    <w:p>
      <w:pPr>
        <w:ind w:firstLine="709"/>
        <w:jc w:val="both"/>
        <w:rPr>
          <w:rFonts w:eastAsia="Calibri"/>
          <w:bCs w:val="0"/>
          <w:i w:val="0"/>
          <w:sz w:val="16"/>
          <w:szCs w:val="16"/>
        </w:rPr>
      </w:pPr>
      <w:r>
        <w:rPr>
          <w:rFonts w:eastAsia="Calibri"/>
          <w:i w:val="0"/>
          <w:iCs w:val="0"/>
          <w:sz w:val="16"/>
          <w:szCs w:val="16"/>
        </w:rPr>
      </w:r>
      <w:r>
        <w:rPr>
          <w:i w:val="0"/>
          <w:iCs w:val="0"/>
        </w:rPr>
      </w:r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3938"/>
        <w:gridCol w:w="244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 w:val="0"/>
                <w:i w:val="0"/>
              </w:rPr>
            </w:pPr>
            <w:r>
              <w:rPr>
                <w:rFonts w:eastAsia="Calibri"/>
                <w:b/>
                <w:i w:val="0"/>
                <w:iCs w:val="0"/>
              </w:rPr>
              <w:t xml:space="preserve">Описание новых или изменения существующих функций, полномочий, обязанностей или прав</w:t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 w:val="0"/>
                <w:i w:val="0"/>
              </w:rPr>
            </w:pPr>
            <w:r>
              <w:rPr>
                <w:rFonts w:eastAsia="Calibri"/>
                <w:b/>
                <w:i w:val="0"/>
                <w:iCs w:val="0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 w:val="0"/>
                <w:i w:val="0"/>
              </w:rPr>
            </w:pPr>
            <w:r>
              <w:rPr>
                <w:rFonts w:eastAsia="Calibri"/>
                <w:b/>
                <w:i w:val="0"/>
                <w:iCs w:val="0"/>
              </w:rPr>
              <w:t xml:space="preserve">Количественная оценка расходов и возможных поступлений,</w:t>
            </w:r>
            <w:r>
              <w:rPr>
                <w:i w:val="0"/>
                <w:iCs w:val="0"/>
              </w:rPr>
            </w:r>
          </w:p>
          <w:p>
            <w:pPr>
              <w:jc w:val="center"/>
              <w:rPr>
                <w:rFonts w:eastAsia="Calibri"/>
                <w:b/>
                <w:bCs w:val="0"/>
                <w:i w:val="0"/>
              </w:rPr>
            </w:pPr>
            <w:r>
              <w:rPr>
                <w:rFonts w:eastAsia="Calibri"/>
                <w:b/>
                <w:i w:val="0"/>
                <w:iCs w:val="0"/>
              </w:rPr>
              <w:t xml:space="preserve">тыс. руб.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9" w:type="dxa"/>
            <w:textDirection w:val="lrTb"/>
            <w:noWrap w:val="false"/>
          </w:tcPr>
          <w:p>
            <w:pPr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принятие решения о проведении контрольных</w:t>
            </w: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  <w:sz w:val="24"/>
                <w:szCs w:val="24"/>
              </w:rPr>
              <w:t xml:space="preserve">(надзорных) мероприятий;</w:t>
            </w:r>
            <w:r>
              <w:rPr>
                <w:i w:val="0"/>
                <w:iCs w:val="0"/>
              </w:rPr>
            </w:r>
          </w:p>
          <w:p>
            <w:pPr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ведение реестра объектов контроля;</w:t>
            </w:r>
            <w:r>
              <w:rPr>
                <w:i w:val="0"/>
                <w:iCs w:val="0"/>
              </w:rPr>
            </w:r>
          </w:p>
          <w:p>
            <w:pPr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проведение профилактических мероприятий;</w:t>
            </w:r>
            <w:r>
              <w:rPr>
                <w:i w:val="0"/>
                <w:iCs w:val="0"/>
              </w:rPr>
            </w:r>
          </w:p>
          <w:p>
            <w:pPr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проведение контрольных (надзорных) мероприятий;</w:t>
            </w:r>
            <w:r>
              <w:rPr>
                <w:i w:val="0"/>
                <w:iCs w:val="0"/>
              </w:rPr>
            </w:r>
          </w:p>
          <w:p>
            <w:pPr>
              <w:rPr>
                <w:rFonts w:eastAsia="Calibri"/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- подготовка доклада о правоприменительной практике, региональном государственном контроле (надзоре)</w:t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 w:val="0"/>
                <w:i w:val="0"/>
                <w:sz w:val="24"/>
                <w:szCs w:val="24"/>
              </w:rPr>
            </w:pPr>
            <w:r>
              <w:rPr>
                <w:rFonts w:eastAsia="Calibri"/>
                <w:i w:val="0"/>
                <w:iCs w:val="0"/>
                <w:sz w:val="24"/>
                <w:szCs w:val="24"/>
              </w:rPr>
              <w:t xml:space="preserve">Единовременные расходы, периодические расходы в 2025 году.</w:t>
            </w:r>
            <w:r>
              <w:rPr>
                <w:i w:val="0"/>
                <w:iCs w:val="0"/>
              </w:rPr>
            </w:r>
          </w:p>
          <w:p>
            <w:pPr>
              <w:jc w:val="center"/>
              <w:rPr>
                <w:rFonts w:eastAsia="Calibri"/>
                <w:bCs w:val="0"/>
                <w:i w:val="0"/>
                <w:sz w:val="24"/>
                <w:szCs w:val="24"/>
              </w:rPr>
            </w:pPr>
            <w:r>
              <w:rPr>
                <w:rFonts w:eastAsia="Calibri"/>
                <w:i w:val="0"/>
                <w:iCs w:val="0"/>
                <w:sz w:val="24"/>
                <w:szCs w:val="24"/>
              </w:rPr>
              <w:t xml:space="preserve">Возможные поступления в 2025 году</w:t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 w:val="0"/>
                <w:i w:val="0"/>
                <w:sz w:val="24"/>
                <w:szCs w:val="24"/>
              </w:rPr>
            </w:pPr>
            <w:r>
              <w:rPr>
                <w:rFonts w:eastAsia="Calibri"/>
                <w:i w:val="0"/>
                <w:iCs w:val="0"/>
                <w:sz w:val="24"/>
                <w:szCs w:val="24"/>
              </w:rPr>
              <w:t xml:space="preserve">Не ожидаются</w:t>
            </w:r>
            <w:r>
              <w:rPr>
                <w:i w:val="0"/>
                <w:iCs w:val="0"/>
              </w:rPr>
            </w:r>
          </w:p>
        </w:tc>
      </w:tr>
    </w:tbl>
    <w:p>
      <w:pPr>
        <w:ind w:firstLine="709"/>
        <w:jc w:val="both"/>
        <w:rPr>
          <w:rFonts w:eastAsia="Calibri"/>
          <w:b/>
          <w:bCs w:val="0"/>
          <w:i w:val="0"/>
          <w:strike/>
          <w:sz w:val="16"/>
          <w:szCs w:val="16"/>
        </w:rPr>
      </w:pPr>
      <w:r>
        <w:rPr>
          <w:rFonts w:eastAsia="Calibri"/>
          <w:b/>
          <w:bCs/>
          <w:i w:val="0"/>
          <w:iCs w:val="0"/>
          <w:strike/>
          <w:sz w:val="16"/>
          <w:szCs w:val="16"/>
        </w:rPr>
      </w:r>
      <w:r>
        <w:rPr>
          <w:i w:val="0"/>
          <w:iCs w:val="0"/>
        </w:rPr>
      </w:r>
    </w:p>
    <w:p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4.8. Информация о наличии или отсутствии в проекте нормативного правового акта обязательных требований: </w:t>
      </w:r>
      <w:r>
        <w:rPr>
          <w:rFonts w:eastAsia="Calibri"/>
          <w:bCs/>
          <w:sz w:val="26"/>
          <w:szCs w:val="26"/>
        </w:rPr>
        <w:t xml:space="preserve">обязательные требования проектом нормативного правового акта не устанавливаются.</w:t>
      </w:r>
      <w:r>
        <w:rPr>
          <w:sz w:val="26"/>
          <w:szCs w:val="26"/>
        </w:rPr>
      </w:r>
    </w:p>
    <w:p>
      <w:pPr>
        <w:ind w:firstLine="709"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также, описание методов контроля эффективности избранного способа достижения целей регулирования:</w:t>
      </w:r>
      <w:r>
        <w:rPr>
          <w:b/>
          <w:bCs/>
          <w:sz w:val="26"/>
          <w:szCs w:val="26"/>
        </w:rPr>
      </w:r>
    </w:p>
    <w:p>
      <w:pPr>
        <w:ind w:firstLine="709"/>
        <w:jc w:val="both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2977"/>
        <w:gridCol w:w="35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Риски решения проблемы предложенным способом и </w:t>
            </w:r>
            <w:r>
              <w:rPr>
                <w:rFonts w:eastAsia="Calibri"/>
                <w:b/>
                <w:sz w:val="24"/>
                <w:szCs w:val="24"/>
              </w:rPr>
              <w:t xml:space="preserve">риски негативных последствий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Оценка вероятности наступления рисков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Методы контроля эффективности избранного </w:t>
            </w:r>
            <w:r>
              <w:rPr>
                <w:rFonts w:eastAsia="Calibri"/>
                <w:b/>
                <w:sz w:val="24"/>
                <w:szCs w:val="24"/>
              </w:rPr>
              <w:t xml:space="preserve">способа достижения целей регулирования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rPr>
                <w:rFonts w:eastAsia="Calibri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eastAsia="Calibri"/>
                <w:i w:val="0"/>
                <w:iCs w:val="0"/>
                <w:sz w:val="24"/>
                <w:szCs w:val="24"/>
              </w:rPr>
              <w:t xml:space="preserve">Нарушение установленных </w:t>
            </w: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в сфере туристской деятельности</w:t>
            </w: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 обязательных требований </w:t>
            </w:r>
            <w:r>
              <w:rPr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eastAsia="Calibri"/>
                <w:i w:val="0"/>
                <w:iCs w:val="0"/>
                <w:sz w:val="24"/>
                <w:szCs w:val="24"/>
              </w:rPr>
              <w:t xml:space="preserve">Моловероятно</w:t>
            </w:r>
            <w:r>
              <w:rPr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rFonts w:eastAsia="Calibri"/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Проведение </w:t>
            </w:r>
            <w:r>
              <w:rPr>
                <w:i w:val="0"/>
                <w:iCs w:val="0"/>
                <w:sz w:val="24"/>
                <w:szCs w:val="24"/>
              </w:rPr>
              <w:t xml:space="preserve">профилактических</w:t>
            </w: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  <w:sz w:val="24"/>
                <w:szCs w:val="24"/>
              </w:rPr>
              <w:t xml:space="preserve">мероприятий, контрольных (надзорных) мероприятий</w:t>
            </w:r>
            <w:r>
              <w:rPr>
                <w:i w:val="0"/>
                <w:iCs w:val="0"/>
              </w:rPr>
            </w:r>
          </w:p>
        </w:tc>
      </w:tr>
    </w:tbl>
    <w:p>
      <w:pPr>
        <w:ind w:firstLine="709"/>
        <w:jc w:val="both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</w:r>
      <w:r/>
    </w:p>
    <w:p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6. </w:t>
      </w:r>
      <w:r>
        <w:rPr>
          <w:rFonts w:eastAsia="Calibri"/>
          <w:bCs/>
          <w:sz w:val="26"/>
          <w:szCs w:val="26"/>
        </w:rPr>
        <w:t xml:space="preserve">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  <w:r>
        <w:rPr>
          <w:sz w:val="26"/>
          <w:szCs w:val="26"/>
        </w:rPr>
      </w:r>
    </w:p>
    <w:p>
      <w:pPr>
        <w:ind w:firstLine="709"/>
        <w:jc w:val="both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</w:r>
      <w:r/>
    </w:p>
    <w:tbl>
      <w:tblPr>
        <w:tblW w:w="96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0"/>
        <w:gridCol w:w="1561"/>
        <w:gridCol w:w="2127"/>
        <w:gridCol w:w="1134"/>
        <w:gridCol w:w="127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 xml:space="preserve">Мероприятия, необходимые для достижения целей регулирования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 xml:space="preserve">Объем </w:t>
            </w:r>
            <w:r>
              <w:rPr>
                <w:rFonts w:eastAsia="Calibri"/>
                <w:b/>
                <w:szCs w:val="20"/>
              </w:rPr>
              <w:t xml:space="preserve">финансиро</w:t>
            </w:r>
            <w:r>
              <w:rPr>
                <w:rFonts w:eastAsia="Calibri"/>
                <w:b/>
                <w:szCs w:val="20"/>
              </w:rPr>
              <w:t xml:space="preserve">- </w:t>
            </w:r>
            <w:r>
              <w:rPr>
                <w:rFonts w:eastAsia="Calibri"/>
                <w:b/>
                <w:szCs w:val="20"/>
              </w:rPr>
              <w:t xml:space="preserve">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 xml:space="preserve">Источники </w:t>
            </w:r>
            <w:r>
              <w:rPr>
                <w:rFonts w:eastAsia="Calibri"/>
                <w:b/>
                <w:szCs w:val="20"/>
              </w:rPr>
              <w:t xml:space="preserve">финансиро</w:t>
            </w:r>
            <w:r>
              <w:rPr>
                <w:rFonts w:eastAsia="Calibri"/>
                <w:b/>
                <w:szCs w:val="20"/>
              </w:rPr>
              <w:t xml:space="preserve">- </w:t>
            </w:r>
            <w:r>
              <w:rPr>
                <w:rFonts w:eastAsia="Calibri"/>
                <w:b/>
                <w:szCs w:val="20"/>
              </w:rPr>
              <w:t xml:space="preserve">вания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0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rFonts w:eastAsia="Calibri"/>
                <w:bCs w:val="0"/>
                <w:i w:val="0"/>
                <w:iCs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Проведение профилактических</w:t>
            </w: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  <w:sz w:val="24"/>
                <w:szCs w:val="24"/>
              </w:rPr>
              <w:t xml:space="preserve">мероприятий, контрольных (надзорных) мероприятий</w:t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Cs w:val="0"/>
                <w:i w:val="0"/>
                <w:sz w:val="24"/>
                <w:szCs w:val="24"/>
              </w:rPr>
            </w:pPr>
            <w:r>
              <w:rPr>
                <w:rFonts w:eastAsia="Calibri"/>
                <w:i w:val="0"/>
                <w:iCs w:val="0"/>
                <w:sz w:val="24"/>
                <w:szCs w:val="24"/>
              </w:rPr>
              <w:t xml:space="preserve">с 1 марта 2025 года</w:t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Доля контролируемых лиц, соблюдающих обязательные требования, в общем числе контролируемых лиц составляет более </w:t>
            </w:r>
            <w:r>
              <w:rPr>
                <w:i w:val="0"/>
                <w:iCs w:val="0"/>
                <w:sz w:val="24"/>
                <w:szCs w:val="24"/>
              </w:rPr>
              <w:t xml:space="preserve">90%</w:t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Cs w:val="0"/>
                <w:i w:val="0"/>
                <w:sz w:val="24"/>
                <w:szCs w:val="24"/>
              </w:rPr>
            </w:pPr>
            <w:r>
              <w:rPr>
                <w:rFonts w:eastAsia="Calibri"/>
                <w:i w:val="0"/>
                <w:iCs w:val="0"/>
                <w:sz w:val="24"/>
                <w:szCs w:val="24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Cs w:val="0"/>
                <w:i w:val="0"/>
                <w:sz w:val="24"/>
                <w:szCs w:val="24"/>
              </w:rPr>
            </w:pPr>
            <w:r>
              <w:rPr>
                <w:rFonts w:eastAsia="Calibri"/>
                <w:i w:val="0"/>
                <w:iCs w:val="0"/>
                <w:sz w:val="24"/>
                <w:szCs w:val="24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</w:tbl>
    <w:p>
      <w:pPr>
        <w:ind w:firstLine="709"/>
        <w:rPr>
          <w:rFonts w:eastAsia="Calibri"/>
          <w:b/>
          <w:bCs/>
          <w:sz w:val="16"/>
          <w:szCs w:val="16"/>
        </w:rPr>
      </w:pPr>
      <w:r>
        <w:rPr>
          <w:rFonts w:eastAsia="Calibri"/>
          <w:b/>
          <w:bCs/>
          <w:sz w:val="16"/>
          <w:szCs w:val="16"/>
        </w:rPr>
      </w:r>
      <w:r/>
    </w:p>
    <w:p>
      <w:pPr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7. Ожидаемые измеримые результаты правового регулирования:</w:t>
      </w:r>
      <w:r/>
    </w:p>
    <w:p>
      <w:pPr>
        <w:ind w:firstLine="709"/>
        <w:rPr>
          <w:rFonts w:eastAsia="Calibri"/>
          <w:b/>
          <w:bCs/>
          <w:sz w:val="16"/>
          <w:szCs w:val="16"/>
        </w:rPr>
      </w:pPr>
      <w:r>
        <w:rPr>
          <w:rFonts w:eastAsia="Calibri"/>
          <w:b/>
          <w:bCs/>
          <w:sz w:val="16"/>
          <w:szCs w:val="16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272"/>
        <w:gridCol w:w="275"/>
        <w:gridCol w:w="1997"/>
        <w:gridCol w:w="3397"/>
        <w:gridCol w:w="1687"/>
      </w:tblGrid>
      <w:tr>
        <w:trPr>
          <w:trHeight w:val="10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Ключевые показатели достижения целей, заявленных в предложенном регулировании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Calibri"/>
                <w:b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Calibri"/>
                <w:b/>
              </w:rPr>
              <w:t xml:space="preserve">Количественное</w:t>
            </w:r>
            <w:r/>
          </w:p>
          <w:p>
            <w:pPr>
              <w:jc w:val="center"/>
              <w:shd w:val="clear" w:color="auto" w:fill="ffffff"/>
              <w:rPr>
                <w:rFonts w:eastAsia="Calibri"/>
                <w:b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Calibri"/>
                <w:b/>
              </w:rPr>
              <w:t xml:space="preserve">значение</w:t>
            </w:r>
            <w:r/>
          </w:p>
          <w:p>
            <w:pPr>
              <w:jc w:val="center"/>
              <w:shd w:val="clear" w:color="auto" w:fill="ffffff"/>
              <w:rPr>
                <w:rFonts w:eastAsia="Calibri"/>
                <w:b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Calibri"/>
                <w:b/>
              </w:rPr>
              <w:t xml:space="preserve">ключевых</w:t>
            </w:r>
            <w:r/>
          </w:p>
          <w:p>
            <w:pPr>
              <w:jc w:val="center"/>
              <w:shd w:val="clear" w:color="auto" w:fill="ffffff"/>
              <w:rPr>
                <w:rFonts w:eastAsia="Calibri"/>
                <w:b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Calibri"/>
                <w:b/>
              </w:rPr>
              <w:t xml:space="preserve">показателей</w:t>
            </w:r>
            <w:r/>
          </w:p>
          <w:p>
            <w:pPr>
              <w:shd w:val="clear" w:color="auto" w:fill="ffffff"/>
              <w:rPr>
                <w:rFonts w:eastAsia="Calibri"/>
                <w:b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Calibri"/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Методы контроля эффективности достижения целей правового регулирования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Срок оценки достижения ключевых показателей </w:t>
            </w:r>
            <w:r/>
          </w:p>
        </w:tc>
      </w:tr>
      <w:tr>
        <w:trPr>
          <w:trHeight w:val="1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rPr>
                <w:rFonts w:eastAsia="Calibri"/>
                <w:bCs w:val="0"/>
                <w:i w:val="0"/>
              </w:rPr>
            </w:pPr>
            <w:r>
              <w:rPr>
                <w:rFonts w:eastAsia="Calibri"/>
                <w:i w:val="0"/>
                <w:iCs w:val="0"/>
                <w:sz w:val="24"/>
                <w:szCs w:val="24"/>
              </w:rPr>
              <w:t xml:space="preserve">Отсутствие </w:t>
            </w:r>
            <w:r>
              <w:rPr>
                <w:rFonts w:eastAsia="Calibri"/>
                <w:i w:val="0"/>
                <w:iCs w:val="0"/>
                <w:sz w:val="24"/>
                <w:szCs w:val="24"/>
              </w:rPr>
            </w:r>
            <w:r>
              <w:rPr>
                <w:rFonts w:eastAsia="Calibri"/>
                <w:i w:val="0"/>
                <w:iCs w:val="0"/>
                <w:sz w:val="24"/>
                <w:szCs w:val="24"/>
              </w:rPr>
              <w:t xml:space="preserve">нарушений </w:t>
            </w: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обязательных требований,</w:t>
            </w:r>
            <w:r>
              <w:rPr>
                <w:i w:val="0"/>
                <w:iCs w:val="0"/>
              </w:rPr>
            </w:r>
            <w:r>
              <w:rPr>
                <w:rFonts w:eastAsia="Calibri"/>
                <w:i w:val="0"/>
                <w:iCs w:val="0"/>
                <w:sz w:val="24"/>
                <w:szCs w:val="24"/>
              </w:rPr>
              <w:t xml:space="preserve"> установленных </w:t>
            </w: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в сфере туристской деятельности</w:t>
            </w:r>
            <w:r>
              <w:rPr>
                <w:i w:val="0"/>
                <w:iCs w:val="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Calibri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</w:p>
          <w:p>
            <w:pPr>
              <w:jc w:val="center"/>
              <w:rPr>
                <w:rFonts w:eastAsia="Calibri"/>
                <w:bCs w:val="0"/>
                <w:i w:val="0"/>
                <w:sz w:val="24"/>
                <w:szCs w:val="24"/>
              </w:rPr>
            </w:pPr>
            <w:r>
              <w:rPr>
                <w:rFonts w:eastAsia="Calibri"/>
                <w:i w:val="0"/>
                <w:iCs w:val="0"/>
                <w:sz w:val="24"/>
                <w:szCs w:val="24"/>
              </w:rPr>
            </w:r>
            <w:r>
              <w:rPr>
                <w:i w:val="0"/>
                <w:iCs w:val="0"/>
              </w:rPr>
            </w:r>
            <w:r>
              <w:rPr>
                <w:i w:val="0"/>
                <w:iCs w:val="0"/>
              </w:rPr>
            </w:r>
          </w:p>
          <w:p>
            <w:pPr>
              <w:jc w:val="center"/>
              <w:rPr>
                <w:rFonts w:eastAsia="Calibri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eastAsia="Calibri"/>
                <w:i w:val="0"/>
                <w:iCs w:val="0"/>
                <w:sz w:val="24"/>
                <w:szCs w:val="24"/>
              </w:rPr>
            </w:r>
            <w:r>
              <w:rPr>
                <w:rFonts w:eastAsia="Calibri"/>
                <w:i w:val="0"/>
                <w:i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eastAsia="Calibri"/>
                <w:i w:val="0"/>
                <w:iCs w:val="0"/>
                <w:sz w:val="24"/>
                <w:szCs w:val="24"/>
              </w:rPr>
              <w:t xml:space="preserve">0</w:t>
            </w:r>
            <w:r>
              <w:rPr>
                <w:rFonts w:eastAsia="Calibri"/>
                <w:i w:val="0"/>
                <w:i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7" w:type="dxa"/>
            <w:vAlign w:val="center"/>
            <w:textDirection w:val="lrTb"/>
            <w:noWrap w:val="false"/>
          </w:tcPr>
          <w:p>
            <w:pPr>
              <w:pStyle w:val="741"/>
              <w:jc w:val="center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Проведение профилактических</w:t>
            </w:r>
            <w:r>
              <w:rPr>
                <w:i w:val="0"/>
                <w:iCs w:val="0"/>
              </w:rPr>
            </w:r>
          </w:p>
          <w:p>
            <w:pPr>
              <w:jc w:val="center"/>
              <w:rPr>
                <w:rFonts w:eastAsia="Calibri"/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мероприятий, контрольных (надзорных) мероприятий</w:t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Cs w:val="0"/>
                <w:i w:val="0"/>
                <w:iCs/>
                <w:sz w:val="24"/>
                <w:szCs w:val="24"/>
              </w:rPr>
            </w:pPr>
            <w:r>
              <w:rPr>
                <w:rFonts w:eastAsia="Calibri"/>
                <w:i w:val="0"/>
                <w:iCs w:val="0"/>
                <w:sz w:val="24"/>
                <w:szCs w:val="24"/>
              </w:rPr>
              <w:t xml:space="preserve">Ежегодный доклад </w:t>
            </w:r>
            <w:r>
              <w:rPr>
                <w:i w:val="0"/>
                <w:iCs w:val="0"/>
              </w:rPr>
            </w:r>
          </w:p>
        </w:tc>
      </w:tr>
    </w:tbl>
    <w:p>
      <w:pPr>
        <w:ind w:firstLine="709"/>
        <w:jc w:val="both"/>
        <w:rPr>
          <w:rFonts w:eastAsia="Calibri"/>
          <w:b/>
          <w:bCs/>
          <w:sz w:val="16"/>
          <w:szCs w:val="16"/>
        </w:rPr>
      </w:pPr>
      <w:r>
        <w:rPr>
          <w:rFonts w:eastAsia="Calibri"/>
          <w:b/>
          <w:bCs/>
          <w:sz w:val="16"/>
          <w:szCs w:val="16"/>
        </w:rPr>
      </w:r>
      <w:r/>
    </w:p>
    <w:p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p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bCs/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notePr/>
      <w:endnotePr/>
      <w:type w:val="nextPage"/>
      <w:pgSz w:w="11907" w:h="16840" w:orient="portrait"/>
      <w:pgMar w:top="709" w:right="709" w:bottom="540" w:left="1560" w:header="397" w:footer="34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6</w:t>
    </w:r>
    <w:r>
      <w:fldChar w:fldCharType="end"/>
    </w:r>
    <w:r/>
  </w:p>
  <w:p>
    <w:pPr>
      <w:pStyle w:val="7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firstLine="434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2" w:hanging="432"/>
      </w:pPr>
      <w:rPr>
        <w:rFonts w:ascii="Times New Roman" w:hAnsi="Times New Roman"/>
      </w:rPr>
    </w:lvl>
    <w:lvl w:ilvl="1">
      <w:start w:val="4"/>
      <w:numFmt w:val="decimal"/>
      <w:isLgl w:val="false"/>
      <w:suff w:val="tab"/>
      <w:lvlText w:val="%1.%2."/>
      <w:lvlJc w:val="left"/>
      <w:pPr>
        <w:ind w:left="720" w:hanging="720"/>
      </w:pPr>
      <w:rPr>
        <w:rFonts w:ascii="Times New Roman" w:hAnsi="Times New Roman"/>
        <w:sz w:val="26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Calibri" w:hAnsi="Calibr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ascii="Calibri" w:hAnsi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ascii="Calibri" w:hAnsi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ascii="Calibri" w:hAnsi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ascii="Calibri" w:hAnsi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ascii="Calibri" w:hAnsi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ascii="Calibri" w:hAnsi="Calibri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08" w:hanging="408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6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16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Endnote Text Char"/>
    <w:link w:val="727"/>
    <w:uiPriority w:val="99"/>
    <w:rPr>
      <w:sz w:val="20"/>
    </w:rPr>
  </w:style>
  <w:style w:type="paragraph" w:styleId="681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682">
    <w:name w:val="Heading 1"/>
    <w:link w:val="731"/>
    <w:uiPriority w:val="9"/>
    <w:qFormat/>
    <w:pPr>
      <w:keepLines/>
      <w:keepNext/>
      <w:spacing w:before="48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Arial" w:hAnsi="Arial" w:eastAsia="Arial" w:cs="Arial"/>
      <w:sz w:val="40"/>
      <w:szCs w:val="40"/>
      <w:lang w:eastAsia="en-US" w:bidi="en-US"/>
    </w:rPr>
  </w:style>
  <w:style w:type="paragraph" w:styleId="683">
    <w:name w:val="Heading 2"/>
    <w:link w:val="732"/>
    <w:uiPriority w:val="9"/>
    <w:unhideWhenUsed/>
    <w:qFormat/>
    <w:pPr>
      <w:keepLines/>
      <w:keepNext/>
      <w:spacing w:before="36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rFonts w:ascii="Arial" w:hAnsi="Arial" w:eastAsia="Arial" w:cs="Arial"/>
      <w:sz w:val="34"/>
      <w:szCs w:val="22"/>
      <w:lang w:eastAsia="en-US" w:bidi="en-US"/>
    </w:rPr>
  </w:style>
  <w:style w:type="paragraph" w:styleId="684">
    <w:name w:val="Heading 3"/>
    <w:link w:val="733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685">
    <w:name w:val="Heading 4"/>
    <w:link w:val="734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686">
    <w:name w:val="Heading 5"/>
    <w:link w:val="735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687">
    <w:name w:val="Heading 6"/>
    <w:link w:val="736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688">
    <w:name w:val="Heading 7"/>
    <w:link w:val="737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689">
    <w:name w:val="Heading 8"/>
    <w:link w:val="738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690">
    <w:name w:val="Heading 9"/>
    <w:link w:val="739"/>
    <w:uiPriority w:val="9"/>
    <w:unhideWhenUsed/>
    <w:qFormat/>
    <w:pPr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Heading 1 Char"/>
    <w:basedOn w:val="691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Heading 2 Char"/>
    <w:basedOn w:val="691"/>
    <w:uiPriority w:val="9"/>
    <w:rPr>
      <w:rFonts w:ascii="Arial" w:hAnsi="Arial" w:eastAsia="Arial" w:cs="Arial"/>
      <w:sz w:val="34"/>
    </w:rPr>
  </w:style>
  <w:style w:type="character" w:styleId="696" w:customStyle="1">
    <w:name w:val="Heading 3 Char"/>
    <w:basedOn w:val="691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Heading 4 Char"/>
    <w:basedOn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Heading 5 Char"/>
    <w:basedOn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Heading 6 Char"/>
    <w:basedOn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Heading 7 Char"/>
    <w:basedOn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Heading 8 Char"/>
    <w:basedOn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Heading 9 Char"/>
    <w:basedOn w:val="691"/>
    <w:uiPriority w:val="9"/>
    <w:rPr>
      <w:rFonts w:ascii="Arial" w:hAnsi="Arial" w:eastAsia="Arial" w:cs="Arial"/>
      <w:i/>
      <w:iCs/>
      <w:sz w:val="21"/>
      <w:szCs w:val="21"/>
    </w:rPr>
  </w:style>
  <w:style w:type="character" w:styleId="703" w:customStyle="1">
    <w:name w:val="Title Char"/>
    <w:basedOn w:val="691"/>
    <w:uiPriority w:val="10"/>
    <w:rPr>
      <w:sz w:val="48"/>
      <w:szCs w:val="48"/>
    </w:rPr>
  </w:style>
  <w:style w:type="character" w:styleId="704" w:customStyle="1">
    <w:name w:val="Subtitle Char"/>
    <w:basedOn w:val="691"/>
    <w:uiPriority w:val="11"/>
    <w:rPr>
      <w:sz w:val="24"/>
      <w:szCs w:val="24"/>
    </w:rPr>
  </w:style>
  <w:style w:type="character" w:styleId="705" w:customStyle="1">
    <w:name w:val="Quote Char"/>
    <w:uiPriority w:val="29"/>
    <w:rPr>
      <w:i/>
    </w:rPr>
  </w:style>
  <w:style w:type="character" w:styleId="706" w:customStyle="1">
    <w:name w:val="Intense Quote Char"/>
    <w:uiPriority w:val="30"/>
    <w:rPr>
      <w:i/>
    </w:rPr>
  </w:style>
  <w:style w:type="table" w:styleId="707">
    <w:name w:val="Plain Table 1"/>
    <w:basedOn w:val="69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9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69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9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5 Dark"/>
    <w:basedOn w:val="6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7">
    <w:name w:val="Grid Table 6 Colorful"/>
    <w:basedOn w:val="69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8">
    <w:name w:val="Grid Table 7 Colorful"/>
    <w:basedOn w:val="69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19">
    <w:name w:val="List Table 1 Light"/>
    <w:basedOn w:val="69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2"/>
    <w:basedOn w:val="69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1">
    <w:name w:val="List Table 3"/>
    <w:basedOn w:val="69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4"/>
    <w:basedOn w:val="69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5 Dark"/>
    <w:basedOn w:val="69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4">
    <w:name w:val="List Table 6 Colorful"/>
    <w:basedOn w:val="69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5">
    <w:name w:val="List Table 7 Colorful"/>
    <w:basedOn w:val="69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character" w:styleId="726" w:customStyle="1">
    <w:name w:val="Footnote Text Char"/>
    <w:uiPriority w:val="99"/>
    <w:rPr>
      <w:sz w:val="18"/>
    </w:rPr>
  </w:style>
  <w:style w:type="paragraph" w:styleId="727">
    <w:name w:val="endnote text"/>
    <w:basedOn w:val="681"/>
    <w:link w:val="728"/>
    <w:uiPriority w:val="99"/>
    <w:semiHidden/>
    <w:unhideWhenUsed/>
  </w:style>
  <w:style w:type="character" w:styleId="728" w:customStyle="1">
    <w:name w:val="Текст концевой сноски Знак"/>
    <w:link w:val="727"/>
    <w:uiPriority w:val="99"/>
    <w:rPr>
      <w:sz w:val="20"/>
    </w:rPr>
  </w:style>
  <w:style w:type="character" w:styleId="729">
    <w:name w:val="endnote reference"/>
    <w:basedOn w:val="691"/>
    <w:uiPriority w:val="99"/>
    <w:semiHidden/>
    <w:unhideWhenUsed/>
    <w:rPr>
      <w:vertAlign w:val="superscript"/>
    </w:rPr>
  </w:style>
  <w:style w:type="paragraph" w:styleId="730">
    <w:name w:val="table of figures"/>
    <w:basedOn w:val="681"/>
    <w:next w:val="681"/>
    <w:uiPriority w:val="99"/>
    <w:unhideWhenUsed/>
  </w:style>
  <w:style w:type="character" w:styleId="731" w:customStyle="1">
    <w:name w:val="Заголовок 1 Знак"/>
    <w:link w:val="682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Заголовок 2 Знак"/>
    <w:link w:val="683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link w:val="684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681"/>
    <w:uiPriority w:val="34"/>
    <w:qFormat/>
    <w:pPr>
      <w:contextualSpacing/>
      <w:ind w:left="720"/>
    </w:pPr>
    <w:rPr>
      <w:szCs w:val="20"/>
    </w:rPr>
  </w:style>
  <w:style w:type="paragraph" w:styleId="741">
    <w:name w:val="No Spacing"/>
    <w:link w:val="908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742">
    <w:name w:val="Title"/>
    <w:link w:val="743"/>
    <w:uiPriority w:val="10"/>
    <w:qFormat/>
    <w:pPr>
      <w:contextualSpacing/>
      <w:spacing w:before="30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48"/>
      <w:szCs w:val="48"/>
      <w:lang w:eastAsia="en-US" w:bidi="en-US"/>
    </w:rPr>
  </w:style>
  <w:style w:type="character" w:styleId="743" w:customStyle="1">
    <w:name w:val="Заголовок Знак"/>
    <w:link w:val="742"/>
    <w:uiPriority w:val="10"/>
    <w:rPr>
      <w:sz w:val="48"/>
      <w:szCs w:val="48"/>
    </w:rPr>
  </w:style>
  <w:style w:type="paragraph" w:styleId="744">
    <w:name w:val="Subtitle"/>
    <w:link w:val="745"/>
    <w:uiPriority w:val="11"/>
    <w:qFormat/>
    <w:pPr>
      <w:spacing w:before="20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en-US" w:bidi="en-US"/>
    </w:rPr>
  </w:style>
  <w:style w:type="character" w:styleId="745" w:customStyle="1">
    <w:name w:val="Подзаголовок Знак"/>
    <w:link w:val="744"/>
    <w:uiPriority w:val="11"/>
    <w:rPr>
      <w:sz w:val="24"/>
      <w:szCs w:val="24"/>
    </w:rPr>
  </w:style>
  <w:style w:type="paragraph" w:styleId="746">
    <w:name w:val="Quote"/>
    <w:link w:val="747"/>
    <w:uiPriority w:val="29"/>
    <w:qFormat/>
    <w:pPr>
      <w:ind w:left="720" w:righ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i/>
      <w:szCs w:val="22"/>
      <w:lang w:eastAsia="en-US" w:bidi="en-US"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</w:pPr>
    <w:rPr>
      <w:i/>
      <w:szCs w:val="22"/>
      <w:lang w:eastAsia="en-US" w:bidi="en-US"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paragraph" w:styleId="750">
    <w:name w:val="Header"/>
    <w:basedOn w:val="681"/>
    <w:link w:val="899"/>
    <w:pPr>
      <w:tabs>
        <w:tab w:val="center" w:pos="4677" w:leader="none"/>
        <w:tab w:val="right" w:pos="9355" w:leader="none"/>
      </w:tabs>
    </w:pPr>
  </w:style>
  <w:style w:type="character" w:styleId="751" w:customStyle="1">
    <w:name w:val="Header Char"/>
    <w:uiPriority w:val="99"/>
  </w:style>
  <w:style w:type="paragraph" w:styleId="752">
    <w:name w:val="Footer"/>
    <w:basedOn w:val="681"/>
    <w:link w:val="900"/>
    <w:pPr>
      <w:tabs>
        <w:tab w:val="center" w:pos="4677" w:leader="none"/>
        <w:tab w:val="right" w:pos="9355" w:leader="none"/>
      </w:tabs>
    </w:pPr>
  </w:style>
  <w:style w:type="character" w:styleId="753" w:customStyle="1">
    <w:name w:val="Footer Char"/>
    <w:uiPriority w:val="99"/>
  </w:style>
  <w:style w:type="paragraph" w:styleId="754">
    <w:name w:val="Caption"/>
    <w:uiPriority w:val="35"/>
    <w:semiHidden/>
    <w:unhideWhenUsed/>
    <w:qFormat/>
    <w:pPr>
      <w:spacing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color w:val="4f81bd"/>
      <w:sz w:val="18"/>
      <w:szCs w:val="18"/>
      <w:lang w:eastAsia="en-US" w:bidi="en-US"/>
    </w:rPr>
  </w:style>
  <w:style w:type="character" w:styleId="755" w:customStyle="1">
    <w:name w:val="Caption Char"/>
    <w:uiPriority w:val="99"/>
  </w:style>
  <w:style w:type="table" w:styleId="756">
    <w:name w:val="Table Grid"/>
    <w:basedOn w:val="692"/>
    <w:tblPr/>
  </w:style>
  <w:style w:type="table" w:styleId="757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Таблица простая 1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Таблица простая 2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Таблица простая 3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Таблица простая 4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Таблица простая 5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Таблица-сетка 1 светл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Таблица-сетка 2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Таблица-сетка 3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Таблица-сетка 4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Таблица-сетка 5 тем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Таблица-сетка 6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Таблица-сетка 7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Список-таблица 1 светл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Список-таблица 2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Список-таблица 3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Список-таблица 4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Список-таблица 5 тем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Список-таблица 6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Список-таблица 7 цветная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2">
    <w:name w:val="Hyperlink"/>
    <w:uiPriority w:val="99"/>
    <w:unhideWhenUsed/>
    <w:rPr>
      <w:color w:val="0000ff"/>
      <w:u w:val="single"/>
    </w:rPr>
  </w:style>
  <w:style w:type="paragraph" w:styleId="883">
    <w:name w:val="footnote text"/>
    <w:link w:val="884"/>
    <w:uiPriority w:val="99"/>
    <w:semiHidden/>
    <w:unhideWhenUsed/>
    <w:pPr>
      <w:spacing w:after="4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18"/>
      <w:szCs w:val="22"/>
      <w:lang w:eastAsia="en-US" w:bidi="en-US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toc 1"/>
    <w:uiPriority w:val="39"/>
    <w:unhideWhenUsed/>
    <w:pPr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87">
    <w:name w:val="toc 2"/>
    <w:uiPriority w:val="39"/>
    <w:unhideWhenUsed/>
    <w:pPr>
      <w:ind w:left="283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88">
    <w:name w:val="toc 3"/>
    <w:uiPriority w:val="39"/>
    <w:unhideWhenUsed/>
    <w:pPr>
      <w:ind w:left="567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89">
    <w:name w:val="toc 4"/>
    <w:uiPriority w:val="39"/>
    <w:unhideWhenUsed/>
    <w:pPr>
      <w:ind w:left="850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90">
    <w:name w:val="toc 5"/>
    <w:uiPriority w:val="39"/>
    <w:unhideWhenUsed/>
    <w:pPr>
      <w:ind w:left="1134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91">
    <w:name w:val="toc 6"/>
    <w:uiPriority w:val="39"/>
    <w:unhideWhenUsed/>
    <w:pPr>
      <w:ind w:left="1417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92">
    <w:name w:val="toc 7"/>
    <w:uiPriority w:val="39"/>
    <w:unhideWhenUsed/>
    <w:pPr>
      <w:ind w:left="1701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93">
    <w:name w:val="toc 8"/>
    <w:uiPriority w:val="39"/>
    <w:unhideWhenUsed/>
    <w:pPr>
      <w:ind w:left="1984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94">
    <w:name w:val="toc 9"/>
    <w:uiPriority w:val="39"/>
    <w:unhideWhenUsed/>
    <w:pPr>
      <w:ind w:left="2268"/>
      <w:spacing w:after="57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95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en-US" w:bidi="en-US"/>
    </w:rPr>
  </w:style>
  <w:style w:type="paragraph" w:styleId="896" w:customStyle="1">
    <w:name w:val="ConsPlusNonformat"/>
    <w:uiPriority w:val="99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/>
      <w:szCs w:val="22"/>
    </w:rPr>
  </w:style>
  <w:style w:type="paragraph" w:styleId="897">
    <w:name w:val="Balloon Text"/>
    <w:basedOn w:val="681"/>
    <w:semiHidden/>
    <w:rPr>
      <w:rFonts w:ascii="Tahoma" w:hAnsi="Tahoma"/>
      <w:sz w:val="16"/>
      <w:szCs w:val="16"/>
    </w:rPr>
  </w:style>
  <w:style w:type="paragraph" w:styleId="898" w:customStyle="1">
    <w:name w:val="Знак"/>
    <w:basedOn w:val="681"/>
    <w:pPr>
      <w:spacing w:after="160" w:line="240" w:lineRule="exact"/>
    </w:pPr>
    <w:rPr>
      <w:rFonts w:ascii="Verdana" w:hAnsi="Verdana"/>
      <w:szCs w:val="20"/>
      <w:lang w:val="en-US"/>
    </w:rPr>
  </w:style>
  <w:style w:type="character" w:styleId="899" w:customStyle="1">
    <w:name w:val="Верхний колонтитул Знак"/>
    <w:link w:val="750"/>
    <w:rPr>
      <w:sz w:val="24"/>
      <w:szCs w:val="24"/>
    </w:rPr>
  </w:style>
  <w:style w:type="character" w:styleId="900" w:customStyle="1">
    <w:name w:val="Нижний колонтитул Знак"/>
    <w:link w:val="752"/>
    <w:rPr>
      <w:sz w:val="24"/>
      <w:szCs w:val="24"/>
    </w:rPr>
  </w:style>
  <w:style w:type="paragraph" w:styleId="901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sz w:val="16"/>
      <w:szCs w:val="16"/>
    </w:rPr>
  </w:style>
  <w:style w:type="paragraph" w:styleId="902" w:customStyle="1">
    <w:name w:val="Знак"/>
    <w:basedOn w:val="681"/>
    <w:pPr>
      <w:spacing w:after="160" w:line="240" w:lineRule="exact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Verdana" w:hAnsi="Verdana"/>
      <w:szCs w:val="20"/>
      <w:lang w:val="en-US" w:bidi="ar-SA"/>
    </w:rPr>
  </w:style>
  <w:style w:type="paragraph" w:styleId="903">
    <w:name w:val="Normal (Web)"/>
    <w:basedOn w:val="681"/>
    <w:uiPriority w:val="99"/>
    <w:semiHidden/>
    <w:unhideWhenUsed/>
    <w:pPr>
      <w:spacing w:before="100" w:beforeAutospacing="1" w:after="100" w:afterAutospacing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sz w:val="24"/>
      <w:szCs w:val="24"/>
      <w:lang w:eastAsia="ru-RU" w:bidi="ar-SA"/>
    </w:rPr>
  </w:style>
  <w:style w:type="paragraph" w:styleId="904" w:customStyle="1">
    <w:name w:val="headertext"/>
    <w:basedOn w:val="681"/>
    <w:qFormat/>
    <w:pPr>
      <w:spacing w:beforeAutospacing="1" w:after="160" w:afterAutospacing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sz w:val="24"/>
      <w:szCs w:val="24"/>
      <w:lang w:eastAsia="ru-RU" w:bidi="ar-SA"/>
    </w:rPr>
  </w:style>
  <w:style w:type="paragraph" w:styleId="905" w:customStyle="1">
    <w:name w:val="ConsPlusTitle"/>
    <w:uiPriority w:val="99"/>
    <w:qFormat/>
    <w:pPr>
      <w:widowControl w:val="off"/>
    </w:pPr>
    <w:rPr>
      <w:rFonts w:ascii="Calibri" w:hAnsi="Calibri" w:cs="Calibri"/>
      <w:b/>
      <w:color w:val="00000a"/>
      <w:sz w:val="22"/>
    </w:rPr>
  </w:style>
  <w:style w:type="paragraph" w:styleId="906">
    <w:name w:val="Body Text 3"/>
    <w:basedOn w:val="681"/>
    <w:link w:val="907"/>
    <w:uiPriority w:val="99"/>
    <w:semiHidden/>
    <w:unhideWhenUsed/>
    <w:pPr>
      <w:spacing w:after="120"/>
    </w:pPr>
    <w:rPr>
      <w:sz w:val="16"/>
      <w:szCs w:val="16"/>
    </w:rPr>
  </w:style>
  <w:style w:type="character" w:styleId="907" w:customStyle="1">
    <w:name w:val="Основной текст 3 Знак"/>
    <w:basedOn w:val="691"/>
    <w:link w:val="906"/>
    <w:uiPriority w:val="99"/>
    <w:semiHidden/>
    <w:rPr>
      <w:sz w:val="16"/>
      <w:szCs w:val="16"/>
      <w:lang w:eastAsia="en-US" w:bidi="en-US"/>
    </w:rPr>
  </w:style>
  <w:style w:type="character" w:styleId="908" w:customStyle="1">
    <w:name w:val="Без интервала Знак"/>
    <w:link w:val="741"/>
    <w:rPr>
      <w:szCs w:val="22"/>
      <w:lang w:eastAsia="en-US" w:bidi="en-US"/>
    </w:rPr>
  </w:style>
  <w:style w:type="paragraph" w:styleId="1_818" w:customStyle="1">
    <w:name w:val="Без интервала"/>
    <w:next w:val="664"/>
    <w:link w:val="623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2680-8530-4D01-8740-2AB3E6E8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revision>9</cp:revision>
  <dcterms:created xsi:type="dcterms:W3CDTF">2025-02-18T11:09:00Z</dcterms:created>
  <dcterms:modified xsi:type="dcterms:W3CDTF">2025-02-19T11:00:35Z</dcterms:modified>
</cp:coreProperties>
</file>