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Расчет издержек</w:t>
      </w:r>
      <w:r/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Название требования: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Установление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запрета продажи безалкогольных тонизирующих напитков (в том числе энергетических) в зданиях, строениях, сооружениях, помещениях, используемых для непосредственного осуществления деятельности в области культуры, расположенных на </w:t>
      </w:r>
      <w:r>
        <w:rPr>
          <w:rFonts w:ascii="Times New Roman" w:hAnsi="Times New Roman"/>
          <w:i/>
          <w:sz w:val="28"/>
          <w:szCs w:val="28"/>
        </w:rPr>
        <w:t xml:space="preserve">территории Белгородской области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в целях обеспечения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выполнения требований действующего законодательства.</w:t>
      </w:r>
      <w:r/>
    </w:p>
    <w:p>
      <w:pPr>
        <w:ind w:firstLine="567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Условие возникновения требования: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Регулирование розничной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продажи безалкогольных тонизирующих напитков (в том числе энергетических) в зданиях, строениях, сооружениях, помещениях, используемых для непосредственного осуществления деятельности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том числе в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области культуры,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 рамках исполнения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Федеральн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ого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закон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а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от 08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августа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2024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304-ФЗ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"Об общих принципах организации публичной власти в субъектах Российской Федерации"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»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Тип требования: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Запрет продажи безалкогольных тонизирующих напитков (в том числе энергетических) в зданиях, строениях, сооружениях, помещениях, используемых для непосредственного осуществления деятельности в области культуры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Масштаб: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 </w:t>
      </w:r>
      <w:bookmarkStart w:id="0" w:name="_GoBack"/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соответствии с проектом закона Белгородской области о внесении изменений в закон Белгородской области «О </w:t>
      </w:r>
      <w:bookmarkEnd w:id="0"/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внесении изменений в з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акон Белгородской области «Об ограничениях в сфере розничной продажи тонизирующих напитков и статью 2.22 закона Белгородской области «Об административных правонарушениях на территории Белгородской области»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предусматривается запрет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розничной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продажи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безалкогольных тонизирующих напитков (в том числе энергетических) в зданиях, строениях, сооружениях, помещениях, используемых для непосредственного осуществления деятельности, в том числе в области культуры.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настоящее время на территории региона </w:t>
      </w:r>
      <w:r>
        <w:rPr>
          <w:rFonts w:ascii="Times New Roman" w:hAnsi="Times New Roman"/>
          <w:i/>
          <w:sz w:val="28"/>
          <w:szCs w:val="28"/>
        </w:rPr>
        <w:t xml:space="preserve">осуществляют деятельность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br/>
        <w:t xml:space="preserve">1453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муниципальных и государственных учреждения культуры области, в том числе</w:t>
      </w:r>
      <w:r>
        <w:rPr>
          <w:rFonts w:ascii="Times New Roman" w:hAnsi="Times New Roman"/>
          <w:i/>
          <w:sz w:val="28"/>
          <w:szCs w:val="28"/>
        </w:rPr>
        <w:t xml:space="preserve">: федеральные – 1 ед., государственные – 16 ед., муниципальные – 1436 ед. (из них сельские – 1163 ед.).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среднем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 зданиях, строениях, сооружениях, помещениях, используемых для непосредственного осуществления деятельности в области культуры, в день реализуется 5 ед. безалкогольных тонизирующих напитков (в том числе энергетических) по средней цене 100 рублей за 1 ед.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Частота: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Запрет продажи безалкогольных тонизирующих напитков (в том числе энергетических) в зданиях, строениях, сооружениях, помещениях, используемых для непосредственного осуществления деятельности в области культуры, расположенных на </w:t>
      </w:r>
      <w:r>
        <w:rPr>
          <w:rFonts w:ascii="Times New Roman" w:hAnsi="Times New Roman"/>
          <w:i/>
          <w:sz w:val="28"/>
          <w:szCs w:val="28"/>
        </w:rPr>
        <w:t xml:space="preserve">территории Белгородской области.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Действия: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Приостановление розничной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продажи безалкогольных тонизирующих напитков (в том числе энергетических)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/>
      <w:bookmarkStart w:id="1" w:name="dst1621"/>
      <w:r/>
      <w:bookmarkEnd w:id="1"/>
      <w:r/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Список приобретений: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Не имеется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Общая стоимость требования: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Возможная упущенная выгода (выручка) хозяйствующих субъектов, попадающих в зону действия ограничений для 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юридических лиц и индивидуальных предпринимателей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br/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ед.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*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00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*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 30 дн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*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14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53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хозяйствующих субъектов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 = 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21,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79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млн 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руб. в месяц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Общая упущенная выгода 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порядка 1500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организаций 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и индивидуальных предпринимателей из расчета запрета на продажу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безалкогольных тонизирующих напитков (в том числе энергетических)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составит 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1,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79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i/>
          <w:spacing w:val="-6"/>
          <w:sz w:val="28"/>
          <w:szCs w:val="28"/>
          <w:lang w:eastAsia="ru-RU"/>
        </w:rPr>
        <w:t xml:space="preserve"> млн руб. в месяц.</w:t>
      </w:r>
      <w:r/>
    </w:p>
    <w:sectPr>
      <w:headerReference w:type="default" r:id="rId9"/>
      <w:footnotePr/>
      <w:endnotePr/>
      <w:type w:val="nextPage"/>
      <w:pgSz w:w="11906" w:h="16838" w:orient="portrait"/>
      <w:pgMar w:top="1135" w:right="567" w:bottom="1418" w:left="851" w:header="142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jc w:val="center"/>
      <w:rPr>
        <w:rFonts w:ascii="Times New Roman" w:hAnsi="Times New Roman"/>
      </w:rPr>
    </w:pPr>
    <w:r>
      <w:rPr>
        <w:rFonts w:ascii="Times New Roman" w:hAnsi="Times New Roman"/>
      </w:rPr>
    </w:r>
    <w:r/>
  </w:p>
  <w:p>
    <w:pPr>
      <w:pStyle w:val="696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2</w:t>
    </w:r>
    <w:r>
      <w:rPr>
        <w:rFonts w:ascii="Times New Roman" w:hAnsi="Times New Roman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74"/>
    <w:link w:val="665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74"/>
    <w:link w:val="666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74"/>
    <w:link w:val="667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74"/>
    <w:link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74"/>
    <w:link w:val="669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74"/>
    <w:link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74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7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74"/>
    <w:link w:val="673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74"/>
    <w:link w:val="688"/>
    <w:uiPriority w:val="10"/>
    <w:rPr>
      <w:sz w:val="48"/>
      <w:szCs w:val="48"/>
    </w:rPr>
  </w:style>
  <w:style w:type="character" w:styleId="36">
    <w:name w:val="Subtitle Char"/>
    <w:basedOn w:val="674"/>
    <w:link w:val="690"/>
    <w:uiPriority w:val="11"/>
    <w:rPr>
      <w:sz w:val="24"/>
      <w:szCs w:val="24"/>
    </w:rPr>
  </w:style>
  <w:style w:type="character" w:styleId="38">
    <w:name w:val="Quote Char"/>
    <w:link w:val="692"/>
    <w:uiPriority w:val="29"/>
    <w:rPr>
      <w:i/>
    </w:rPr>
  </w:style>
  <w:style w:type="character" w:styleId="40">
    <w:name w:val="Intense Quote Char"/>
    <w:link w:val="694"/>
    <w:uiPriority w:val="30"/>
    <w:rPr>
      <w:i/>
    </w:rPr>
  </w:style>
  <w:style w:type="character" w:styleId="175">
    <w:name w:val="Footnote Text Char"/>
    <w:link w:val="829"/>
    <w:uiPriority w:val="99"/>
    <w:rPr>
      <w:sz w:val="18"/>
    </w:rPr>
  </w:style>
  <w:style w:type="character" w:styleId="178">
    <w:name w:val="Endnote Text Char"/>
    <w:link w:val="832"/>
    <w:uiPriority w:val="99"/>
    <w:rPr>
      <w:sz w:val="20"/>
    </w:rPr>
  </w:style>
  <w:style w:type="paragraph" w:styleId="664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65">
    <w:name w:val="Heading 1"/>
    <w:basedOn w:val="664"/>
    <w:next w:val="66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6">
    <w:name w:val="Heading 2"/>
    <w:basedOn w:val="664"/>
    <w:next w:val="664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7">
    <w:name w:val="Heading 3"/>
    <w:basedOn w:val="664"/>
    <w:next w:val="664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8">
    <w:name w:val="Heading 4"/>
    <w:basedOn w:val="664"/>
    <w:next w:val="664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664"/>
    <w:next w:val="664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664"/>
    <w:next w:val="664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1">
    <w:name w:val="Heading 7"/>
    <w:basedOn w:val="664"/>
    <w:next w:val="664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2">
    <w:name w:val="Heading 8"/>
    <w:basedOn w:val="664"/>
    <w:next w:val="664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3">
    <w:name w:val="Heading 9"/>
    <w:basedOn w:val="664"/>
    <w:next w:val="664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 w:customStyle="1">
    <w:name w:val="Заголовок 1 Знак"/>
    <w:link w:val="665"/>
    <w:uiPriority w:val="9"/>
    <w:rPr>
      <w:rFonts w:ascii="Arial" w:hAnsi="Arial" w:eastAsia="Arial" w:cs="Arial"/>
      <w:sz w:val="40"/>
      <w:szCs w:val="40"/>
    </w:rPr>
  </w:style>
  <w:style w:type="character" w:styleId="678" w:customStyle="1">
    <w:name w:val="Заголовок 2 Знак"/>
    <w:link w:val="666"/>
    <w:uiPriority w:val="9"/>
    <w:rPr>
      <w:rFonts w:ascii="Arial" w:hAnsi="Arial" w:eastAsia="Arial" w:cs="Arial"/>
      <w:sz w:val="34"/>
    </w:rPr>
  </w:style>
  <w:style w:type="character" w:styleId="679" w:customStyle="1">
    <w:name w:val="Заголовок 3 Знак"/>
    <w:link w:val="667"/>
    <w:uiPriority w:val="9"/>
    <w:rPr>
      <w:rFonts w:ascii="Arial" w:hAnsi="Arial" w:eastAsia="Arial" w:cs="Arial"/>
      <w:sz w:val="30"/>
      <w:szCs w:val="30"/>
    </w:rPr>
  </w:style>
  <w:style w:type="character" w:styleId="680" w:customStyle="1">
    <w:name w:val="Заголовок 4 Знак"/>
    <w:link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81" w:customStyle="1">
    <w:name w:val="Заголовок 5 Знак"/>
    <w:link w:val="669"/>
    <w:uiPriority w:val="9"/>
    <w:rPr>
      <w:rFonts w:ascii="Arial" w:hAnsi="Arial" w:eastAsia="Arial" w:cs="Arial"/>
      <w:b/>
      <w:bCs/>
      <w:sz w:val="24"/>
      <w:szCs w:val="24"/>
    </w:rPr>
  </w:style>
  <w:style w:type="character" w:styleId="682" w:customStyle="1">
    <w:name w:val="Заголовок 6 Знак"/>
    <w:link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683" w:customStyle="1">
    <w:name w:val="Заголовок 7 Знак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4" w:customStyle="1">
    <w:name w:val="Заголовок 8 Знак"/>
    <w:link w:val="672"/>
    <w:uiPriority w:val="9"/>
    <w:rPr>
      <w:rFonts w:ascii="Arial" w:hAnsi="Arial" w:eastAsia="Arial" w:cs="Arial"/>
      <w:i/>
      <w:iCs/>
      <w:sz w:val="22"/>
      <w:szCs w:val="22"/>
    </w:rPr>
  </w:style>
  <w:style w:type="character" w:styleId="685" w:customStyle="1">
    <w:name w:val="Заголовок 9 Знак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664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rPr>
      <w:lang w:eastAsia="zh-CN"/>
    </w:rPr>
  </w:style>
  <w:style w:type="paragraph" w:styleId="688">
    <w:name w:val="Title"/>
    <w:basedOn w:val="664"/>
    <w:next w:val="664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 w:customStyle="1">
    <w:name w:val="Заголовок Знак"/>
    <w:link w:val="688"/>
    <w:uiPriority w:val="10"/>
    <w:rPr>
      <w:sz w:val="48"/>
      <w:szCs w:val="48"/>
    </w:rPr>
  </w:style>
  <w:style w:type="paragraph" w:styleId="690">
    <w:name w:val="Subtitle"/>
    <w:basedOn w:val="664"/>
    <w:next w:val="664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 w:customStyle="1">
    <w:name w:val="Подзаголовок Знак"/>
    <w:link w:val="690"/>
    <w:uiPriority w:val="11"/>
    <w:rPr>
      <w:sz w:val="24"/>
      <w:szCs w:val="24"/>
    </w:rPr>
  </w:style>
  <w:style w:type="paragraph" w:styleId="692">
    <w:name w:val="Quote"/>
    <w:basedOn w:val="664"/>
    <w:next w:val="664"/>
    <w:link w:val="693"/>
    <w:uiPriority w:val="29"/>
    <w:qFormat/>
    <w:pPr>
      <w:ind w:left="720" w:right="720"/>
    </w:pPr>
    <w:rPr>
      <w:i/>
    </w:rPr>
  </w:style>
  <w:style w:type="character" w:styleId="693" w:customStyle="1">
    <w:name w:val="Цитата 2 Знак"/>
    <w:link w:val="692"/>
    <w:uiPriority w:val="29"/>
    <w:rPr>
      <w:i/>
    </w:rPr>
  </w:style>
  <w:style w:type="paragraph" w:styleId="694">
    <w:name w:val="Intense Quote"/>
    <w:basedOn w:val="664"/>
    <w:next w:val="664"/>
    <w:link w:val="69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 w:customStyle="1">
    <w:name w:val="Выделенная цитата Знак"/>
    <w:link w:val="694"/>
    <w:uiPriority w:val="30"/>
    <w:rPr>
      <w:i/>
    </w:rPr>
  </w:style>
  <w:style w:type="paragraph" w:styleId="696">
    <w:name w:val="Header"/>
    <w:basedOn w:val="664"/>
    <w:link w:val="85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97" w:customStyle="1">
    <w:name w:val="Header Char"/>
    <w:uiPriority w:val="99"/>
  </w:style>
  <w:style w:type="paragraph" w:styleId="698">
    <w:name w:val="Footer"/>
    <w:basedOn w:val="664"/>
    <w:link w:val="851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99" w:customStyle="1">
    <w:name w:val="Footer Char"/>
    <w:uiPriority w:val="99"/>
  </w:style>
  <w:style w:type="paragraph" w:styleId="700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1" w:customStyle="1">
    <w:name w:val="Caption Char"/>
    <w:uiPriority w:val="99"/>
  </w:style>
  <w:style w:type="table" w:styleId="702">
    <w:name w:val="Table Grid"/>
    <w:basedOn w:val="675"/>
    <w:uiPriority w:val="39"/>
    <w:tblPr/>
  </w:style>
  <w:style w:type="table" w:styleId="70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7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8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8">
    <w:name w:val="Hyperlink"/>
    <w:uiPriority w:val="99"/>
    <w:semiHidden/>
    <w:unhideWhenUsed/>
    <w:rPr>
      <w:color w:val="0000ff"/>
      <w:u w:val="single"/>
    </w:rPr>
  </w:style>
  <w:style w:type="paragraph" w:styleId="829">
    <w:name w:val="footnote text"/>
    <w:basedOn w:val="664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 w:customStyle="1">
    <w:name w:val="Текст сноски Знак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664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 w:customStyle="1">
    <w:name w:val="Текст концевой сноски Знак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664"/>
    <w:next w:val="664"/>
    <w:uiPriority w:val="39"/>
    <w:unhideWhenUsed/>
    <w:pPr>
      <w:spacing w:after="57"/>
    </w:pPr>
  </w:style>
  <w:style w:type="paragraph" w:styleId="836">
    <w:name w:val="toc 2"/>
    <w:basedOn w:val="664"/>
    <w:next w:val="664"/>
    <w:uiPriority w:val="39"/>
    <w:unhideWhenUsed/>
    <w:pPr>
      <w:ind w:left="283"/>
      <w:spacing w:after="57"/>
    </w:pPr>
  </w:style>
  <w:style w:type="paragraph" w:styleId="837">
    <w:name w:val="toc 3"/>
    <w:basedOn w:val="664"/>
    <w:next w:val="664"/>
    <w:uiPriority w:val="39"/>
    <w:unhideWhenUsed/>
    <w:pPr>
      <w:ind w:left="567"/>
      <w:spacing w:after="57"/>
    </w:pPr>
  </w:style>
  <w:style w:type="paragraph" w:styleId="838">
    <w:name w:val="toc 4"/>
    <w:basedOn w:val="664"/>
    <w:next w:val="664"/>
    <w:uiPriority w:val="39"/>
    <w:unhideWhenUsed/>
    <w:pPr>
      <w:ind w:left="850"/>
      <w:spacing w:after="57"/>
    </w:pPr>
  </w:style>
  <w:style w:type="paragraph" w:styleId="839">
    <w:name w:val="toc 5"/>
    <w:basedOn w:val="664"/>
    <w:next w:val="664"/>
    <w:uiPriority w:val="39"/>
    <w:unhideWhenUsed/>
    <w:pPr>
      <w:ind w:left="1134"/>
      <w:spacing w:after="57"/>
    </w:pPr>
  </w:style>
  <w:style w:type="paragraph" w:styleId="840">
    <w:name w:val="toc 6"/>
    <w:basedOn w:val="664"/>
    <w:next w:val="664"/>
    <w:uiPriority w:val="39"/>
    <w:unhideWhenUsed/>
    <w:pPr>
      <w:ind w:left="1417"/>
      <w:spacing w:after="57"/>
    </w:pPr>
  </w:style>
  <w:style w:type="paragraph" w:styleId="841">
    <w:name w:val="toc 7"/>
    <w:basedOn w:val="664"/>
    <w:next w:val="664"/>
    <w:uiPriority w:val="39"/>
    <w:unhideWhenUsed/>
    <w:pPr>
      <w:ind w:left="1701"/>
      <w:spacing w:after="57"/>
    </w:pPr>
  </w:style>
  <w:style w:type="paragraph" w:styleId="842">
    <w:name w:val="toc 8"/>
    <w:basedOn w:val="664"/>
    <w:next w:val="664"/>
    <w:uiPriority w:val="39"/>
    <w:unhideWhenUsed/>
    <w:pPr>
      <w:ind w:left="1984"/>
      <w:spacing w:after="57"/>
    </w:pPr>
  </w:style>
  <w:style w:type="paragraph" w:styleId="843">
    <w:name w:val="toc 9"/>
    <w:basedOn w:val="664"/>
    <w:next w:val="664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  <w:rPr>
      <w:lang w:eastAsia="zh-CN"/>
    </w:rPr>
  </w:style>
  <w:style w:type="paragraph" w:styleId="845">
    <w:name w:val="table of figures"/>
    <w:basedOn w:val="664"/>
    <w:next w:val="664"/>
    <w:uiPriority w:val="99"/>
    <w:unhideWhenUsed/>
    <w:pPr>
      <w:spacing w:after="0"/>
    </w:pPr>
  </w:style>
  <w:style w:type="paragraph" w:styleId="846">
    <w:name w:val="Balloon Text"/>
    <w:basedOn w:val="664"/>
    <w:link w:val="847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styleId="847" w:customStyle="1">
    <w:name w:val="Текст выноски Знак"/>
    <w:link w:val="846"/>
    <w:uiPriority w:val="99"/>
    <w:semiHidden/>
    <w:rPr>
      <w:rFonts w:ascii="Segoe UI" w:hAnsi="Segoe UI" w:cs="Segoe UI"/>
      <w:sz w:val="18"/>
      <w:szCs w:val="18"/>
    </w:rPr>
  </w:style>
  <w:style w:type="paragraph" w:styleId="848" w:customStyle="1">
    <w:name w:val="ConsPlusNormal"/>
    <w:pPr>
      <w:widowControl w:val="off"/>
    </w:pPr>
    <w:rPr>
      <w:rFonts w:eastAsia="Times New Roman" w:cs="Calibri"/>
      <w:sz w:val="22"/>
    </w:rPr>
  </w:style>
  <w:style w:type="character" w:styleId="849">
    <w:name w:val="Emphasis"/>
    <w:uiPriority w:val="20"/>
    <w:qFormat/>
    <w:rPr>
      <w:i/>
      <w:iCs/>
    </w:rPr>
  </w:style>
  <w:style w:type="character" w:styleId="850" w:customStyle="1">
    <w:name w:val="Верхний колонтитул Знак"/>
    <w:link w:val="696"/>
    <w:uiPriority w:val="99"/>
    <w:rPr>
      <w:sz w:val="22"/>
      <w:szCs w:val="22"/>
      <w:lang w:eastAsia="en-US"/>
    </w:rPr>
  </w:style>
  <w:style w:type="character" w:styleId="851" w:customStyle="1">
    <w:name w:val="Нижний колонтитул Знак"/>
    <w:link w:val="698"/>
    <w:uiPriority w:val="99"/>
    <w:rPr>
      <w:sz w:val="22"/>
      <w:szCs w:val="22"/>
      <w:lang w:eastAsia="en-US"/>
    </w:rPr>
  </w:style>
  <w:style w:type="character" w:styleId="852" w:customStyle="1">
    <w:name w:val="s_10"/>
    <w:basedOn w:val="674"/>
  </w:style>
  <w:style w:type="character" w:styleId="853" w:customStyle="1">
    <w:name w:val="apple-converted-space"/>
    <w:basedOn w:val="674"/>
  </w:style>
  <w:style w:type="paragraph" w:styleId="854" w:customStyle="1">
    <w:name w:val="1"/>
    <w:basedOn w:val="664"/>
    <w:pPr>
      <w:spacing w:line="240" w:lineRule="exact"/>
    </w:pPr>
    <w:rPr>
      <w:rFonts w:ascii="Verdana" w:hAnsi="Verdana" w:eastAsia="Times New Roman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Елена Анатольевна</dc:creator>
  <cp:revision>36</cp:revision>
  <dcterms:created xsi:type="dcterms:W3CDTF">2022-12-23T09:10:00Z</dcterms:created>
  <dcterms:modified xsi:type="dcterms:W3CDTF">2025-01-31T07:12:47Z</dcterms:modified>
  <cp:version>983040</cp:version>
</cp:coreProperties>
</file>