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rPr>
          <w:b/>
          <w:bCs/>
          <w:i/>
          <w:sz w:val="24"/>
          <w:szCs w:val="24"/>
        </w:rPr>
      </w:pPr>
      <w:r>
        <w:rPr>
          <w:b/>
          <w:i/>
          <w:sz w:val="24"/>
          <w:szCs w:val="24"/>
          <w:highlight w:val="none"/>
        </w:rPr>
      </w:r>
      <w:r>
        <w:rPr>
          <w:b/>
          <w:i/>
          <w:sz w:val="24"/>
          <w:szCs w:val="24"/>
          <w:highlight w:val="none"/>
        </w:rPr>
      </w:r>
      <w:r/>
    </w:p>
    <w:p>
      <w:pPr>
        <w:ind w:firstLine="709"/>
        <w:jc w:val="center"/>
        <w:rPr>
          <w:b/>
          <w:bCs w:val="0"/>
          <w:i w:val="0"/>
          <w:sz w:val="26"/>
          <w:szCs w:val="26"/>
        </w:rPr>
      </w:pPr>
      <w:r>
        <w:rPr>
          <w:b/>
          <w:i w:val="0"/>
          <w:iCs w:val="0"/>
          <w:sz w:val="26"/>
          <w:szCs w:val="26"/>
        </w:rPr>
        <w:t xml:space="preserve">Информационная справка о проведении оценки регулирующего воздействия </w:t>
      </w:r>
      <w:r>
        <w:rPr>
          <w:b/>
          <w:bCs w:val="0"/>
          <w:i w:val="0"/>
          <w:sz w:val="26"/>
          <w:szCs w:val="26"/>
          <w:highlight w:val="none"/>
        </w:rPr>
      </w:r>
    </w:p>
    <w:p>
      <w:pPr>
        <w:ind w:firstLine="709"/>
        <w:jc w:val="center"/>
        <w:rPr>
          <w:b/>
          <w:bCs w:val="0"/>
          <w:i w:val="0"/>
          <w:sz w:val="26"/>
          <w:szCs w:val="26"/>
          <w:highlight w:val="none"/>
        </w:rPr>
      </w:pPr>
      <w:r>
        <w:rPr>
          <w:b/>
          <w:i w:val="0"/>
          <w:iCs w:val="0"/>
          <w:sz w:val="26"/>
          <w:szCs w:val="26"/>
        </w:rPr>
        <w:t xml:space="preserve">в Белгородской области за 9 месяцев 2026 года.</w:t>
      </w:r>
      <w:r/>
      <w:r/>
    </w:p>
    <w:p>
      <w:pPr>
        <w:ind w:firstLine="709"/>
        <w:rPr>
          <w:b/>
          <w:bCs w:val="0"/>
          <w:i w:val="0"/>
          <w:sz w:val="26"/>
          <w:szCs w:val="26"/>
        </w:rPr>
      </w:pPr>
      <w:r>
        <w:rPr>
          <w:b/>
          <w:bCs w:val="0"/>
          <w:i w:val="0"/>
          <w:sz w:val="26"/>
          <w:szCs w:val="26"/>
        </w:rPr>
      </w:r>
      <w:r>
        <w:rPr>
          <w:sz w:val="26"/>
          <w:szCs w:val="26"/>
        </w:rPr>
      </w:r>
      <w:r/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highlight w:val="none"/>
          <w:lang w:eastAsia="en-US"/>
        </w:rPr>
        <w:t xml:space="preserve">Министерством экономического развития Российской Федерации в целях оценки качества проведения </w:t>
      </w:r>
      <w:r>
        <w:rPr>
          <w:rFonts w:eastAsiaTheme="minorHAnsi"/>
          <w:sz w:val="24"/>
          <w:szCs w:val="24"/>
          <w:highlight w:val="none"/>
          <w:lang w:eastAsia="en-US"/>
        </w:rPr>
        <w:t xml:space="preserve">оценки регулирующего воздействия (далее – ОРВ), оценки применения обязательных требований (далее – ОПОТ), оценки </w:t>
      </w:r>
      <w:r>
        <w:rPr>
          <w:rFonts w:eastAsiaTheme="minorHAnsi"/>
          <w:sz w:val="24"/>
          <w:szCs w:val="24"/>
          <w:highlight w:val="none"/>
          <w:lang w:eastAsia="en-US"/>
        </w:rPr>
        <w:t xml:space="preserve">фактического воздействия (далее – ОФВ) и экспертизы </w:t>
        <w:br/>
        <w:t xml:space="preserve">в субъектах Российской Федерации ежегодно</w:t>
      </w:r>
      <w:r>
        <w:rPr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  <w:highlight w:val="none"/>
          <w:lang w:eastAsia="en-US"/>
        </w:rPr>
        <w:t xml:space="preserve">проводит расчет рейтинга качества проведения указанных процедур.</w:t>
      </w:r>
      <w:r>
        <w:rPr>
          <w:rFonts w:eastAsiaTheme="minorHAnsi"/>
          <w:sz w:val="24"/>
          <w:szCs w:val="24"/>
          <w:highlight w:val="none"/>
          <w:lang w:eastAsia="en-US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rPr>
          <w:rFonts w:eastAsiaTheme="minorHAnsi"/>
          <w:sz w:val="24"/>
          <w:szCs w:val="24"/>
          <w:highlight w:val="none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Согласно утвержденной </w:t>
      </w:r>
      <w:r>
        <w:rPr>
          <w:sz w:val="24"/>
          <w:szCs w:val="24"/>
        </w:rPr>
        <w:t xml:space="preserve">Минэкономразвития</w:t>
      </w:r>
      <w:r>
        <w:rPr>
          <w:sz w:val="24"/>
          <w:szCs w:val="24"/>
        </w:rPr>
        <w:t xml:space="preserve"> России на 202</w:t>
      </w:r>
      <w:r>
        <w:rPr>
          <w:sz w:val="24"/>
          <w:szCs w:val="24"/>
        </w:rPr>
        <w:t xml:space="preserve">6 год с</w:t>
      </w:r>
      <w:r>
        <w:rPr>
          <w:rFonts w:eastAsiaTheme="minorHAnsi"/>
          <w:bCs/>
          <w:sz w:val="24"/>
          <w:szCs w:val="24"/>
          <w:lang w:eastAsia="en-US"/>
        </w:rPr>
        <w:t xml:space="preserve">истемы показателей оценки рейтинга ОРВ </w:t>
      </w:r>
      <w:r>
        <w:rPr>
          <w:rFonts w:eastAsiaTheme="minorHAnsi"/>
          <w:bCs/>
          <w:sz w:val="24"/>
          <w:szCs w:val="24"/>
          <w:lang w:eastAsia="en-US"/>
        </w:rPr>
        <w:t xml:space="preserve">независимая оценка </w:t>
      </w:r>
      <w:r>
        <w:rPr>
          <w:sz w:val="24"/>
          <w:szCs w:val="24"/>
        </w:rPr>
        <w:t xml:space="preserve">представителей бизнес-сообщества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осуществляется по</w:t>
      </w:r>
      <w:r>
        <w:rPr>
          <w:rFonts w:eastAsiaTheme="minorHAnsi"/>
          <w:sz w:val="24"/>
          <w:szCs w:val="24"/>
          <w:lang w:eastAsia="en-US"/>
        </w:rPr>
        <w:t xml:space="preserve"> пяти критериям</w:t>
      </w:r>
      <w:r>
        <w:rPr>
          <w:rFonts w:eastAsiaTheme="minorHAnsi"/>
          <w:sz w:val="24"/>
          <w:szCs w:val="24"/>
          <w:lang w:eastAsia="en-US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1"/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1) </w:t>
      </w:r>
      <w:r>
        <w:rPr>
          <w:rFonts w:eastAsiaTheme="minorHAnsi"/>
          <w:sz w:val="24"/>
          <w:szCs w:val="24"/>
          <w:lang w:eastAsia="en-US"/>
        </w:rPr>
        <w:t xml:space="preserve">Открытость, актуальность и достаточность информации об ОРВ, ОПОТ и ОФВ в регионе</w:t>
      </w:r>
      <w:r>
        <w:rPr>
          <w:rFonts w:eastAsiaTheme="minorHAnsi"/>
          <w:sz w:val="24"/>
          <w:szCs w:val="24"/>
          <w:lang w:eastAsia="en-US"/>
        </w:rPr>
        <w:t xml:space="preserve">;</w:t>
      </w:r>
      <w:r>
        <w:rPr>
          <w:rFonts w:eastAsiaTheme="minorHAnsi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2) Качество работы по привлечению заинтересованных сторон к участию в обсуждении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проектов НПА в рамках </w:t>
      </w:r>
      <w:r>
        <w:rPr>
          <w:rFonts w:eastAsiaTheme="minorHAnsi"/>
          <w:sz w:val="24"/>
          <w:szCs w:val="24"/>
          <w:lang w:eastAsia="en-US"/>
        </w:rPr>
        <w:t xml:space="preserve">регуляторных процедур</w:t>
      </w:r>
      <w:r>
        <w:rPr>
          <w:rFonts w:eastAsiaTheme="minorHAnsi"/>
          <w:sz w:val="24"/>
          <w:szCs w:val="24"/>
          <w:lang w:eastAsia="en-US"/>
        </w:rPr>
        <w:t xml:space="preserve">;</w:t>
      </w:r>
      <w:r>
        <w:rPr>
          <w:sz w:val="24"/>
          <w:szCs w:val="24"/>
        </w:rPr>
      </w:r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</w:r>
      <w:r>
        <w:rPr>
          <w:rFonts w:eastAsiaTheme="minorHAnsi"/>
          <w:sz w:val="24"/>
          <w:szCs w:val="24"/>
          <w:lang w:eastAsia="en-US"/>
        </w:rPr>
        <w:t xml:space="preserve">3) Учет мнения представителей предпринимательского и экспертного сообщества</w:t>
      </w:r>
      <w:r>
        <w:rPr>
          <w:rFonts w:eastAsiaTheme="minorHAnsi"/>
          <w:sz w:val="24"/>
          <w:szCs w:val="24"/>
          <w:lang w:eastAsia="en-US"/>
        </w:rPr>
        <w:t xml:space="preserve">;</w:t>
      </w:r>
      <w:r>
        <w:rPr>
          <w:rFonts w:eastAsiaTheme="minorHAnsi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4) Роль ОРВ в повышении качества принятия государственных решений в регионе</w:t>
      </w:r>
      <w:r>
        <w:rPr>
          <w:rFonts w:eastAsiaTheme="minorHAnsi"/>
          <w:sz w:val="24"/>
          <w:szCs w:val="24"/>
          <w:lang w:eastAsia="en-US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5) Доля учтенных замечаний при доработке акта по итогам заключения об ОРВ</w:t>
      </w:r>
      <w:r>
        <w:rPr>
          <w:rFonts w:eastAsiaTheme="minorHAnsi"/>
          <w:sz w:val="24"/>
          <w:szCs w:val="24"/>
        </w:rPr>
        <w:t xml:space="preserve">.</w:t>
      </w:r>
      <w:r>
        <w:rPr>
          <w:rFonts w:eastAsiaTheme="minorHAnsi"/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spacing w:line="276" w:lineRule="auto"/>
        <w:rPr>
          <w:rFonts w:eastAsia="Calibri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Информация об ОРВ в Бел</w:t>
      </w:r>
      <w:r>
        <w:rPr>
          <w:sz w:val="24"/>
          <w:szCs w:val="24"/>
          <w:highlight w:val="none"/>
        </w:rPr>
        <w:t xml:space="preserve">городской области постоянно размещается и обновляется </w:t>
      </w:r>
      <w:r>
        <w:rPr>
          <w:sz w:val="24"/>
          <w:szCs w:val="24"/>
          <w:highlight w:val="none"/>
        </w:rPr>
        <w:t xml:space="preserve">на сайтах министерства экономического развития и промышленности Белгородской области </w:t>
      </w:r>
      <w:hyperlink r:id="rId10" w:tooltip="http://minecprom.ru/" w:history="1">
        <w:r>
          <w:rPr>
            <w:rStyle w:val="826"/>
            <w:sz w:val="24"/>
            <w:szCs w:val="24"/>
            <w:highlight w:val="none"/>
          </w:rPr>
        </w:r>
        <w:r>
          <w:rPr>
            <w:rStyle w:val="826"/>
            <w:sz w:val="24"/>
            <w:szCs w:val="24"/>
            <w:highlight w:val="none"/>
          </w:rPr>
          <w:t xml:space="preserve">https://minecprom.belregion.ru/ocenka-reguliruyushego-vozdejstviya</w:t>
        </w:r>
        <w:r>
          <w:rPr>
            <w:rStyle w:val="826"/>
            <w:sz w:val="24"/>
            <w:szCs w:val="24"/>
            <w:highlight w:val="none"/>
          </w:rPr>
        </w:r>
      </w:hyperlink>
      <w:r>
        <w:rPr>
          <w:sz w:val="24"/>
          <w:szCs w:val="24"/>
          <w:highlight w:val="none"/>
        </w:rPr>
        <w:t xml:space="preserve"> и на Инвестиционном портале Белгородской области </w:t>
      </w:r>
      <w:r>
        <w:rPr>
          <w:sz w:val="24"/>
          <w:szCs w:val="24"/>
          <w:highlight w:val="none"/>
        </w:rPr>
      </w:r>
      <w:hyperlink r:id="rId11" w:tooltip="https://belgorodinvest.com/docs/otsenka-reguliruyushchego-vozdeystviya/." w:history="1">
        <w:r>
          <w:rPr>
            <w:rStyle w:val="826"/>
            <w:sz w:val="24"/>
            <w:szCs w:val="24"/>
            <w:highlight w:val="none"/>
          </w:rPr>
          <w:t xml:space="preserve">https://belgorodinvest.com/docs/otsenka-reguliruyushchego-vozdeystviya/</w:t>
        </w:r>
        <w:r>
          <w:rPr>
            <w:rStyle w:val="826"/>
            <w:sz w:val="24"/>
            <w:szCs w:val="24"/>
            <w:highlight w:val="none"/>
          </w:rPr>
          <w:t xml:space="preserve">.</w:t>
        </w:r>
      </w:hyperlink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</w:r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За 9 месяцев 2026 года на сайте министерства экономического развития и промышленности области разме</w:t>
      </w:r>
      <w:r>
        <w:rPr>
          <w:sz w:val="24"/>
          <w:szCs w:val="24"/>
          <w:highlight w:val="none"/>
        </w:rPr>
        <w:t xml:space="preserve">щено 36 новостных информационных сообщени</w:t>
      </w:r>
      <w:r>
        <w:rPr>
          <w:sz w:val="24"/>
          <w:szCs w:val="24"/>
          <w:highlight w:val="none"/>
        </w:rPr>
        <w:t xml:space="preserve">я</w:t>
      </w:r>
      <w:bookmarkStart w:id="0" w:name="_GoBack"/>
      <w:r>
        <w:rPr>
          <w:sz w:val="24"/>
          <w:szCs w:val="24"/>
          <w:highlight w:val="none"/>
        </w:rPr>
      </w:r>
      <w:bookmarkEnd w:id="0"/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в сфере оценки регулирующего воздействия.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spacing w:line="276" w:lineRule="auto"/>
        <w:rPr>
          <w:sz w:val="26"/>
          <w:szCs w:val="26"/>
          <w:highlight w:val="none"/>
        </w:rPr>
      </w:pPr>
      <w:r>
        <w:rPr>
          <w:sz w:val="26"/>
          <w:szCs w:val="26"/>
        </w:rPr>
      </w:r>
      <w:r/>
    </w:p>
    <w:p>
      <w:pPr>
        <w:ind w:firstLine="709"/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6"/>
          <w:szCs w:val="26"/>
          <w:highlight w:val="none"/>
        </w:rPr>
        <w:t xml:space="preserve">Сведения о проводимых в Белгородской области процедурах ОРВ</w:t>
      </w:r>
      <w:r>
        <w:rPr>
          <w:b/>
          <w:sz w:val="26"/>
          <w:szCs w:val="26"/>
          <w:highlight w:val="none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center"/>
        <w:rPr>
          <w:sz w:val="26"/>
          <w:szCs w:val="26"/>
          <w:highlight w:val="none"/>
        </w:rPr>
      </w:pPr>
      <w:r>
        <w:rPr>
          <w:b/>
          <w:sz w:val="26"/>
          <w:szCs w:val="26"/>
          <w:highlight w:val="none"/>
        </w:rPr>
        <w:t xml:space="preserve">        </w:t>
      </w:r>
      <w:r>
        <w:rPr>
          <w:b/>
          <w:sz w:val="26"/>
          <w:szCs w:val="26"/>
          <w:highlight w:val="none"/>
        </w:rPr>
        <w:t xml:space="preserve">за 9 месяцев</w:t>
      </w:r>
      <w:r>
        <w:rPr>
          <w:b/>
          <w:sz w:val="26"/>
          <w:szCs w:val="26"/>
          <w:highlight w:val="none"/>
        </w:rPr>
        <w:t xml:space="preserve"> 202</w:t>
      </w:r>
      <w:r>
        <w:rPr>
          <w:b/>
          <w:sz w:val="26"/>
          <w:szCs w:val="26"/>
          <w:highlight w:val="none"/>
        </w:rPr>
        <w:t xml:space="preserve">6 года</w:t>
      </w:r>
      <w:r>
        <w:rPr>
          <w:b/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center"/>
        <w:rPr>
          <w:b/>
          <w:bCs/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tbl>
      <w:tblPr>
        <w:tblStyle w:val="819"/>
        <w:tblW w:w="5184" w:type="pct"/>
        <w:tblInd w:w="22" w:type="dxa"/>
        <w:tblLayout w:type="fixed"/>
        <w:tblLook w:val="04A0" w:firstRow="1" w:lastRow="0" w:firstColumn="1" w:lastColumn="0" w:noHBand="0" w:noVBand="1"/>
      </w:tblPr>
      <w:tblGrid>
        <w:gridCol w:w="8056"/>
        <w:gridCol w:w="2377"/>
      </w:tblGrid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Показатели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9 </w:t>
            </w:r>
            <w:r>
              <w:rPr>
                <w:b/>
                <w:sz w:val="24"/>
                <w:szCs w:val="24"/>
                <w:highlight w:val="none"/>
              </w:rPr>
              <w:t xml:space="preserve">месяцев 202</w:t>
            </w:r>
            <w:r>
              <w:rPr>
                <w:b/>
                <w:sz w:val="24"/>
                <w:szCs w:val="24"/>
                <w:highlight w:val="none"/>
              </w:rPr>
              <w:t xml:space="preserve">6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104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1. Оценка регулирующего воздействия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Количество проектов НПА, прошедших процедуру ОРВ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17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 Количество </w:t>
            </w:r>
            <w:r>
              <w:rPr>
                <w:sz w:val="24"/>
                <w:szCs w:val="24"/>
              </w:rPr>
              <w:t xml:space="preserve">позиций участников</w:t>
            </w:r>
            <w:r>
              <w:rPr>
                <w:sz w:val="24"/>
                <w:szCs w:val="24"/>
              </w:rPr>
              <w:t xml:space="preserve">, поступивших в рамках публичных консультаций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348 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 Количество позиций участников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учтенных разработчиком НПА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318 (91%)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1.4. Количество предложений, по которым разработчиком НПА обоснована невозможность учета.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30 (9%)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1043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2. Экспертиза нормативных правовых актов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2.1. Количество НПА, по которым осуществлена экспертиза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2.2. Количество НПА, откорректированных</w:t>
            </w:r>
            <w:r>
              <w:rPr>
                <w:sz w:val="24"/>
                <w:szCs w:val="24"/>
                <w:highlight w:val="none"/>
              </w:rPr>
              <w:t xml:space="preserve">/отмененных</w:t>
            </w:r>
            <w:r>
              <w:rPr>
                <w:sz w:val="24"/>
                <w:szCs w:val="24"/>
                <w:highlight w:val="none"/>
              </w:rPr>
              <w:t xml:space="preserve"> по результатам экспертизы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W w:w="104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3. Оценка фактического воздействия нормативных правовых актов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299"/>
        </w:trPr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2.1. Количество НПА, по которым осуществлена ОФВ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62"/>
        </w:trPr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2.2.</w:t>
            </w:r>
            <w:r>
              <w:rPr>
                <w:sz w:val="24"/>
                <w:szCs w:val="24"/>
                <w:highlight w:val="none"/>
              </w:rPr>
              <w:t xml:space="preserve"> Количество НПА, откорректированных по результатам ОФВ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-567"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highlight w:val="none"/>
          <w:lang w:eastAsia="en-US"/>
        </w:rPr>
      </w:r>
      <w:r>
        <w:rPr>
          <w:rFonts w:eastAsia="Calibri"/>
          <w:sz w:val="24"/>
          <w:szCs w:val="24"/>
          <w:highlight w:val="none"/>
          <w:lang w:eastAsia="en-US"/>
        </w:rPr>
      </w:r>
      <w:r/>
    </w:p>
    <w:p>
      <w:pPr>
        <w:ind w:left="0" w:right="-425" w:firstLine="708"/>
        <w:jc w:val="both"/>
        <w:spacing w:line="276" w:lineRule="auto"/>
        <w:shd w:val="clear" w:color="auto" w:fill="auto"/>
        <w:rPr>
          <w:sz w:val="24"/>
          <w:szCs w:val="24"/>
          <w:highlight w:val="none"/>
        </w:rPr>
      </w:pPr>
      <w:r>
        <w:rPr>
          <w:rFonts w:eastAsia="Calibri"/>
          <w:sz w:val="24"/>
          <w:szCs w:val="24"/>
          <w:highlight w:val="none"/>
          <w:lang w:eastAsia="en-US"/>
        </w:rPr>
        <w:t xml:space="preserve">В публичных консультациях на региональном уровне за 9 месяцев</w:t>
      </w:r>
      <w:r>
        <w:rPr>
          <w:sz w:val="24"/>
          <w:szCs w:val="24"/>
          <w:highlight w:val="none"/>
        </w:rPr>
        <w:t xml:space="preserve"> 2026 года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пр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иняли  участие представители общественных организаций: </w:t>
      </w:r>
      <w:r>
        <w:rPr>
          <w:sz w:val="24"/>
          <w:szCs w:val="24"/>
          <w:highlight w:val="none"/>
        </w:rPr>
        <w:t xml:space="preserve">Союз «Торгово-промышленная палата Белгородской области», Белгородская региональная общественная организация «Центр </w:t>
      </w:r>
      <w:r>
        <w:rPr>
          <w:sz w:val="24"/>
          <w:szCs w:val="24"/>
          <w:highlight w:val="none"/>
        </w:rPr>
        <w:t xml:space="preserve">социальных инициатив «Вера»,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Белгородское региональное отделение Общероссийской общест</w:t>
      </w:r>
      <w:r>
        <w:rPr>
          <w:sz w:val="24"/>
          <w:szCs w:val="24"/>
          <w:highlight w:val="none"/>
        </w:rPr>
        <w:t xml:space="preserve">венной организации малого </w:t>
        <w:br/>
        <w:t xml:space="preserve">и среднего предпринимательства «ОПОРА РОССИИ»</w:t>
      </w:r>
      <w:r>
        <w:rPr>
          <w:rFonts w:eastAsia="Calibri"/>
          <w:sz w:val="24"/>
          <w:szCs w:val="24"/>
          <w:highlight w:val="none"/>
          <w:lang w:eastAsia="en-US"/>
        </w:rPr>
        <w:t xml:space="preserve">,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а также </w:t>
      </w:r>
      <w:r>
        <w:rPr>
          <w:sz w:val="24"/>
          <w:szCs w:val="24"/>
          <w:highlight w:val="none"/>
        </w:rPr>
        <w:t xml:space="preserve">Уполномоченный по защите прав предпринимателей в</w:t>
      </w:r>
      <w:r>
        <w:rPr>
          <w:sz w:val="24"/>
          <w:szCs w:val="24"/>
          <w:highlight w:val="none"/>
        </w:rPr>
        <w:t xml:space="preserve"> Белгородской области, Уполномоченный по правам ребенка в Белгородской области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и более 45 коммерческих и некоммерческих организаций различных форм собственности. </w: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ind w:left="0" w:right="-426" w:firstLine="708"/>
        <w:jc w:val="both"/>
        <w:spacing w:line="276" w:lineRule="auto"/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</w:pPr>
      <w:r>
        <w:rPr>
          <w:rFonts w:eastAsia="Calibri"/>
          <w:sz w:val="24"/>
          <w:szCs w:val="24"/>
          <w:highlight w:val="none"/>
          <w:lang w:eastAsia="en-US"/>
        </w:rPr>
        <w:t xml:space="preserve">Процедура ОРВ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за указанный период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проведена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по 17 проектам НПА области, подготовлено </w:t>
        <w:br/>
        <w:t xml:space="preserve">4 экспертны</w:t>
      </w:r>
      <w:r>
        <w:rPr>
          <w:rFonts w:eastAsia="Calibri"/>
          <w:sz w:val="24"/>
          <w:szCs w:val="24"/>
          <w:highlight w:val="none"/>
          <w:lang w:eastAsia="en-US"/>
        </w:rPr>
        <w:t xml:space="preserve">х заключения и 3 заключения об ОФВ по действующим нормативным правовым актам.</w:t>
      </w:r>
      <w:r>
        <w:rPr>
          <w:rFonts w:eastAsia="Calibri"/>
          <w:sz w:val="24"/>
          <w:szCs w:val="24"/>
          <w:highlight w:val="none"/>
        </w:rPr>
        <w:t xml:space="preserve"> П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о итогам публичных консультаций от участников поступило более 340 мнений, предложений </w:t>
        <w:br/>
        <w:t xml:space="preserve">и замечаний, в том числе с позициями в поддержку разрабатываемых нормативных актов, из них 91 % предложений разработчиками учтен.</w:t>
      </w:r>
      <w:r>
        <w:rPr>
          <w:rFonts w:eastAsia="Calibri"/>
          <w:sz w:val="24"/>
          <w:szCs w:val="24"/>
          <w:highlight w:val="none"/>
          <w:lang w:eastAsia="en-US"/>
        </w:rPr>
      </w:r>
      <w:r>
        <w:rPr>
          <w:rFonts w:eastAsia="Calibri"/>
          <w:sz w:val="24"/>
          <w:szCs w:val="24"/>
          <w:highlight w:val="none"/>
        </w:rPr>
      </w:r>
    </w:p>
    <w:p>
      <w:pPr>
        <w:ind w:left="0" w:right="-425" w:firstLine="708"/>
        <w:jc w:val="both"/>
        <w:spacing w:line="276" w:lineRule="auto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По итогам оценки регулирующего воздействия, рассмотрев предложения и замечания участников публичных обсуждений, по </w:t>
      </w:r>
      <w:r>
        <w:rPr>
          <w:rFonts w:eastAsia="Calibri"/>
          <w:sz w:val="24"/>
          <w:szCs w:val="24"/>
          <w:lang w:eastAsia="en-US"/>
        </w:rPr>
        <w:t xml:space="preserve">2 </w:t>
      </w:r>
      <w:r>
        <w:rPr>
          <w:rFonts w:eastAsia="Calibri"/>
          <w:sz w:val="24"/>
          <w:szCs w:val="24"/>
          <w:lang w:eastAsia="en-US"/>
        </w:rPr>
        <w:t xml:space="preserve">проектам</w:t>
      </w:r>
      <w:r>
        <w:rPr>
          <w:rFonts w:eastAsia="Calibri"/>
          <w:sz w:val="24"/>
          <w:szCs w:val="24"/>
          <w:lang w:eastAsia="en-US"/>
        </w:rPr>
        <w:t xml:space="preserve"> нормативных правовых актов министерством экономического развития и промышленности </w:t>
      </w:r>
      <w:r>
        <w:rPr>
          <w:sz w:val="24"/>
          <w:szCs w:val="24"/>
        </w:rPr>
        <w:t xml:space="preserve">области разработчикам рекомендовано доработать подготовленные нормативные акты с учетом полученных замечаний. </w:t>
      </w:r>
      <w:r>
        <w:rPr>
          <w:sz w:val="24"/>
          <w:szCs w:val="24"/>
        </w:rPr>
      </w:r>
    </w:p>
    <w:p>
      <w:pPr>
        <w:ind w:left="0" w:right="-425" w:firstLine="708"/>
        <w:jc w:val="both"/>
        <w:spacing w:line="276" w:lineRule="auto"/>
        <w:rPr>
          <w:rFonts w:eastAsia="Calibri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По проекту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закона Белгородской области «О внесении изменения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в часть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ru-RU"/>
        </w:rPr>
        <w:t xml:space="preserve"> 4 статьи 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закона Белгородской области «О регулировании отдельных вопросов в сфере розничной продажи алкогольной продукции»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, по итогам рассмотрения предложений, поступивших от участников публичных обсуждений, разработчиком принято решение об отказе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введения предлагаемого правового регулирования в целях более тщательной проработки решения проблемы.</w:t>
      </w:r>
      <w:r>
        <w:rPr>
          <w:rFonts w:eastAsia="Calibri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-426" w:firstLine="708"/>
        <w:jc w:val="both"/>
        <w:spacing w:line="276" w:lineRule="auto"/>
        <w:rPr>
          <w:sz w:val="24"/>
          <w:szCs w:val="24"/>
          <w:highlight w:val="none"/>
        </w:rPr>
      </w:pPr>
      <w:r>
        <w:rPr>
          <w:rFonts w:eastAsia="Calibri"/>
          <w:sz w:val="24"/>
          <w:szCs w:val="24"/>
          <w:highlight w:val="none"/>
          <w:lang w:eastAsia="en-US"/>
        </w:rPr>
        <w:t xml:space="preserve">По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проекту постановления Правительства Белгородской области «О внесении изменений </w:t>
      </w:r>
      <w:r>
        <w:rPr>
          <w:rFonts w:eastAsia="Calibri"/>
          <w:sz w:val="24"/>
          <w:szCs w:val="24"/>
          <w:highlight w:val="none"/>
          <w:lang w:eastAsia="en-US"/>
        </w:rPr>
        <w:br/>
        <w:t xml:space="preserve">в постановление Правительства Белгородской области от 28 февраля 2011 года № 71-пп</w:t>
      </w:r>
      <w:r>
        <w:rPr>
          <w:sz w:val="24"/>
          <w:szCs w:val="24"/>
        </w:rPr>
        <w:t xml:space="preserve"> </w:t>
        <w:br/>
      </w:r>
      <w:r>
        <w:rPr>
          <w:rFonts w:eastAsia="Calibri"/>
          <w:sz w:val="24"/>
          <w:szCs w:val="24"/>
          <w:highlight w:val="none"/>
          <w:lang w:eastAsia="en-US"/>
        </w:rPr>
        <w:t xml:space="preserve">«Об определении порядка разработки и утверждения органами местного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самоуправления муниципальных районов, муниципальных и городских округов схем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размещения нестационарных торговых объектов» </w:t>
      </w:r>
      <w:r>
        <w:rPr>
          <w:sz w:val="24"/>
          <w:szCs w:val="24"/>
        </w:rPr>
        <w:t xml:space="preserve">в результате анализа поступивших по итогам публичных консультаций </w:t>
      </w:r>
      <w:r>
        <w:rPr>
          <w:sz w:val="24"/>
          <w:szCs w:val="24"/>
        </w:rPr>
        <w:t xml:space="preserve">предложений и замечаний министерством экономического развития и промышленности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области установлено, что предусмотренный проектом постановления переходный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период 3 месяца, </w:t>
      </w:r>
      <w:r>
        <w:rPr>
          <w:sz w:val="24"/>
          <w:szCs w:val="24"/>
        </w:rPr>
        <w:t xml:space="preserve">в течение которого хозяйствующие субъекты, осуществляющие торговую деятельность </w:t>
      </w:r>
      <w:r>
        <w:rPr>
          <w:sz w:val="24"/>
          <w:szCs w:val="24"/>
        </w:rPr>
        <w:t xml:space="preserve">в НТО, размещенных </w:t>
        <w:br/>
        <w:t xml:space="preserve">на земельных участках, находящихся в частной собственности, </w:t>
      </w:r>
      <w:r>
        <w:rPr>
          <w:sz w:val="24"/>
          <w:szCs w:val="24"/>
        </w:rPr>
        <w:t xml:space="preserve">вправе осуществлять торговую деятельность без включения в Схему размещения </w:t>
      </w:r>
      <w:r>
        <w:rPr>
          <w:sz w:val="24"/>
          <w:szCs w:val="24"/>
        </w:rPr>
        <w:t xml:space="preserve">недостаточный и может затруднить ведение предпринимательской деятельности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данной сфере.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Разработчику рекомендовано доработать проект постановления, установив срок </w:t>
      </w:r>
      <w:r>
        <w:rPr>
          <w:sz w:val="24"/>
          <w:szCs w:val="24"/>
        </w:rPr>
        <w:t xml:space="preserve"> более </w:t>
      </w:r>
      <w:r>
        <w:rPr>
          <w:sz w:val="24"/>
          <w:szCs w:val="24"/>
        </w:rPr>
        <w:t xml:space="preserve">6 месяцев.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ind w:left="0" w:right="-426" w:firstLine="708"/>
        <w:jc w:val="both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В настоящее время доработанный нормативный правовой акт проходит стадию согласования </w:t>
        <w:br/>
        <w:t xml:space="preserve">в установленном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порядке. </w:t>
      </w:r>
      <w:r>
        <w:rPr>
          <w:sz w:val="24"/>
          <w:szCs w:val="24"/>
          <w:highlight w:val="none"/>
        </w:rPr>
        <w:t xml:space="preserve">Проектом предусмотрено </w:t>
      </w:r>
      <w:r>
        <w:rPr>
          <w:sz w:val="24"/>
          <w:szCs w:val="24"/>
          <w:highlight w:val="none"/>
        </w:rPr>
        <w:t xml:space="preserve">уточнение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отдельных положений Порядка</w:t>
      </w:r>
      <w:r>
        <w:rPr>
          <w:sz w:val="24"/>
          <w:szCs w:val="24"/>
          <w:highlight w:val="none"/>
        </w:rPr>
        <w:t xml:space="preserve">, </w:t>
        <w:br/>
      </w:r>
      <w:r>
        <w:rPr>
          <w:sz w:val="24"/>
          <w:szCs w:val="24"/>
          <w:highlight w:val="none"/>
        </w:rPr>
        <w:t xml:space="preserve">а также </w:t>
      </w:r>
      <w:r>
        <w:rPr>
          <w:sz w:val="24"/>
          <w:szCs w:val="24"/>
          <w:highlight w:val="none"/>
        </w:rPr>
        <w:t xml:space="preserve">увеличение переходного периода </w:t>
      </w:r>
      <w:r>
        <w:rPr>
          <w:sz w:val="24"/>
          <w:szCs w:val="24"/>
          <w:highlight w:val="none"/>
        </w:rPr>
        <w:t xml:space="preserve">до 1 (одного) года. 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ind w:left="0" w:right="-425" w:firstLine="708"/>
        <w:jc w:val="both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rFonts w:eastAsia="Calibri"/>
          <w:sz w:val="24"/>
          <w:szCs w:val="24"/>
          <w:lang w:eastAsia="en-US"/>
        </w:rPr>
        <w:t xml:space="preserve">Экспертные заключения подготовлены по 7 действующим нормативным правовым актам. </w:t>
        <w:br/>
        <w:t xml:space="preserve">По 5 нормативным правовым актам области сделан вывод о </w:t>
      </w:r>
      <w:r>
        <w:rPr>
          <w:sz w:val="24"/>
          <w:szCs w:val="24"/>
        </w:rPr>
        <w:t xml:space="preserve">необходимости </w:t>
      </w:r>
      <w:r>
        <w:rPr>
          <w:rFonts w:eastAsia="Calibri"/>
          <w:sz w:val="24"/>
          <w:szCs w:val="24"/>
          <w:lang w:eastAsia="en-US"/>
        </w:rPr>
        <w:t xml:space="preserve">отмены </w:t>
      </w:r>
      <w:r>
        <w:rPr>
          <w:rFonts w:eastAsia="Calibri"/>
          <w:sz w:val="24"/>
          <w:szCs w:val="24"/>
          <w:lang w:eastAsia="en-US"/>
        </w:rPr>
        <w:t xml:space="preserve">либо внесени</w:t>
      </w:r>
      <w:r>
        <w:rPr>
          <w:rFonts w:eastAsia="Calibri"/>
          <w:sz w:val="24"/>
          <w:szCs w:val="24"/>
          <w:lang w:eastAsia="en-US"/>
        </w:rPr>
        <w:t xml:space="preserve">и изменений</w:t>
      </w:r>
      <w:r>
        <w:rPr>
          <w:rFonts w:eastAsia="Calibri"/>
          <w:sz w:val="24"/>
          <w:szCs w:val="24"/>
          <w:lang w:eastAsia="en-US"/>
        </w:rPr>
        <w:t xml:space="preserve">, по 2 нормативным правовым актам, устанавливающим обязательные требования </w:t>
        <w:br/>
        <w:t xml:space="preserve">для субъектов предпринимательской и иной экономической деятельности</w:t>
      </w:r>
      <w:r>
        <w:rPr>
          <w:sz w:val="24"/>
          <w:szCs w:val="24"/>
        </w:rPr>
        <w:t xml:space="preserve">, по итогам оценки фактического воздействия, разработчику рекомендовано продлить </w:t>
      </w:r>
      <w:r>
        <w:rPr>
          <w:sz w:val="24"/>
          <w:szCs w:val="24"/>
        </w:rPr>
      </w:r>
      <w:r>
        <w:rPr>
          <w:sz w:val="24"/>
          <w:szCs w:val="24"/>
        </w:rPr>
        <w:t xml:space="preserve">срок </w:t>
      </w:r>
      <w:r>
        <w:rPr>
          <w:sz w:val="24"/>
          <w:szCs w:val="24"/>
        </w:rPr>
        <w:t xml:space="preserve">их</w:t>
      </w:r>
      <w:r>
        <w:rPr>
          <w:sz w:val="24"/>
          <w:szCs w:val="24"/>
        </w:rPr>
        <w:t xml:space="preserve"> действия в соответствии </w:t>
        <w:br/>
        <w:t xml:space="preserve">с федеральным законодательством.</w:t>
      </w:r>
      <w:r>
        <w:rPr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В регионе действует совещательны</w:t>
      </w:r>
      <w:r>
        <w:rPr>
          <w:sz w:val="24"/>
          <w:szCs w:val="24"/>
          <w:highlight w:val="none"/>
        </w:rPr>
        <w:t xml:space="preserve">й орган по вопросам оценки </w:t>
      </w:r>
      <w:r>
        <w:rPr>
          <w:sz w:val="24"/>
          <w:szCs w:val="24"/>
          <w:highlight w:val="none"/>
        </w:rPr>
        <w:t xml:space="preserve">регулирующего воздействия,</w:t>
      </w:r>
      <w:r>
        <w:rPr>
          <w:sz w:val="24"/>
          <w:szCs w:val="24"/>
          <w:highlight w:val="none"/>
        </w:rPr>
        <w:t xml:space="preserve"> оценки фактического воздействия и экспертизы. </w:t>
      </w:r>
      <w:r>
        <w:rPr>
          <w:sz w:val="24"/>
          <w:szCs w:val="24"/>
          <w:highlight w:val="none"/>
        </w:rPr>
        <w:t xml:space="preserve">В 2026 года проведены 3 заседания рабочей группы по ОРВ. </w: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rPr>
          <w:color w:val="000000"/>
          <w:sz w:val="24"/>
          <w:szCs w:val="24"/>
        </w:rPr>
      </w:pPr>
      <w:r>
        <w:rPr>
          <w:rFonts w:eastAsia="Arial"/>
          <w:color w:val="000000" w:themeColor="text1"/>
          <w:sz w:val="24"/>
          <w:szCs w:val="24"/>
        </w:rPr>
        <w:t xml:space="preserve">В целях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формирования новых и совершенствования имеющихся компетенций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сотрудников исполнительных органов области и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муниципальных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служащих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по проведению оценки регулирующего воздействия и оценки применения обязательных требований проектов нормативных правовых актов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eastAsia="Arial"/>
          <w:color w:val="000000" w:themeColor="text1"/>
          <w:sz w:val="24"/>
          <w:szCs w:val="24"/>
          <w:highlight w:val="white"/>
        </w:rPr>
        <w:t xml:space="preserve"> в июне и октябре </w:t>
      </w:r>
      <w:r>
        <w:rPr>
          <w:rFonts w:eastAsia="Arial"/>
          <w:color w:val="000000" w:themeColor="text1"/>
          <w:sz w:val="24"/>
          <w:szCs w:val="24"/>
          <w:highlight w:val="white"/>
        </w:rPr>
        <w:t xml:space="preserve">2026 года</w:t>
      </w:r>
      <w:r>
        <w:rPr>
          <w:rFonts w:eastAsia="Arial"/>
          <w:color w:val="000000" w:themeColor="text1"/>
          <w:sz w:val="24"/>
          <w:szCs w:val="24"/>
        </w:rPr>
        <w:t xml:space="preserve"> </w:t>
      </w:r>
      <w:r>
        <w:rPr>
          <w:rFonts w:eastAsia="Arial"/>
          <w:color w:val="000000" w:themeColor="text1"/>
          <w:sz w:val="24"/>
          <w:szCs w:val="24"/>
        </w:rPr>
        <w:t xml:space="preserve">министерством экономического развития и промышленности области проведены корпоративные обучения</w:t>
      </w:r>
      <w:r>
        <w:rPr>
          <w:rFonts w:eastAsia="Arial"/>
          <w:color w:val="000000" w:themeColor="text1"/>
          <w:sz w:val="24"/>
          <w:szCs w:val="24"/>
          <w:highlight w:val="whit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семинарах</w:t>
      </w:r>
      <w:r>
        <w:rPr>
          <w:rFonts w:ascii="Times New Roman" w:hAnsi="Times New Roman" w:cs="Times New Roman"/>
          <w:sz w:val="24"/>
          <w:szCs w:val="24"/>
        </w:rPr>
        <w:t xml:space="preserve"> приняли участие более 130 служащих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-425" w:firstLine="708"/>
        <w:jc w:val="both"/>
        <w:spacing w:line="276" w:lineRule="auto"/>
        <w:rPr>
          <w:rFonts w:eastAsia="Calibri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284" w:right="851" w:bottom="538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1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23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95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67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39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11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83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553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1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23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95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67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39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11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83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basedOn w:val="815"/>
    <w:next w:val="815"/>
    <w:link w:val="6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3">
    <w:name w:val="Heading 1 Char"/>
    <w:basedOn w:val="816"/>
    <w:link w:val="642"/>
    <w:uiPriority w:val="9"/>
    <w:rPr>
      <w:rFonts w:ascii="Arial" w:hAnsi="Arial" w:eastAsia="Arial" w:cs="Arial"/>
      <w:sz w:val="40"/>
      <w:szCs w:val="40"/>
    </w:rPr>
  </w:style>
  <w:style w:type="paragraph" w:styleId="644">
    <w:name w:val="Heading 2"/>
    <w:basedOn w:val="815"/>
    <w:next w:val="815"/>
    <w:link w:val="6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5">
    <w:name w:val="Heading 2 Char"/>
    <w:basedOn w:val="816"/>
    <w:link w:val="644"/>
    <w:uiPriority w:val="9"/>
    <w:rPr>
      <w:rFonts w:ascii="Arial" w:hAnsi="Arial" w:eastAsia="Arial" w:cs="Arial"/>
      <w:sz w:val="34"/>
    </w:rPr>
  </w:style>
  <w:style w:type="paragraph" w:styleId="646">
    <w:name w:val="Heading 3"/>
    <w:basedOn w:val="815"/>
    <w:next w:val="815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7">
    <w:name w:val="Heading 3 Char"/>
    <w:basedOn w:val="816"/>
    <w:link w:val="646"/>
    <w:uiPriority w:val="9"/>
    <w:rPr>
      <w:rFonts w:ascii="Arial" w:hAnsi="Arial" w:eastAsia="Arial" w:cs="Arial"/>
      <w:sz w:val="30"/>
      <w:szCs w:val="30"/>
    </w:rPr>
  </w:style>
  <w:style w:type="paragraph" w:styleId="648">
    <w:name w:val="Heading 4"/>
    <w:basedOn w:val="815"/>
    <w:next w:val="815"/>
    <w:link w:val="6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9">
    <w:name w:val="Heading 4 Char"/>
    <w:basedOn w:val="816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650">
    <w:name w:val="Heading 5"/>
    <w:basedOn w:val="815"/>
    <w:next w:val="815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1">
    <w:name w:val="Heading 5 Char"/>
    <w:basedOn w:val="816"/>
    <w:link w:val="650"/>
    <w:uiPriority w:val="9"/>
    <w:rPr>
      <w:rFonts w:ascii="Arial" w:hAnsi="Arial" w:eastAsia="Arial" w:cs="Arial"/>
      <w:b/>
      <w:bCs/>
      <w:sz w:val="24"/>
      <w:szCs w:val="24"/>
    </w:rPr>
  </w:style>
  <w:style w:type="paragraph" w:styleId="652">
    <w:name w:val="Heading 6"/>
    <w:basedOn w:val="815"/>
    <w:next w:val="815"/>
    <w:link w:val="6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3">
    <w:name w:val="Heading 6 Char"/>
    <w:basedOn w:val="816"/>
    <w:link w:val="652"/>
    <w:uiPriority w:val="9"/>
    <w:rPr>
      <w:rFonts w:ascii="Arial" w:hAnsi="Arial" w:eastAsia="Arial" w:cs="Arial"/>
      <w:b/>
      <w:bCs/>
      <w:sz w:val="22"/>
      <w:szCs w:val="22"/>
    </w:rPr>
  </w:style>
  <w:style w:type="paragraph" w:styleId="654">
    <w:name w:val="Heading 7"/>
    <w:basedOn w:val="815"/>
    <w:next w:val="815"/>
    <w:link w:val="6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7 Char"/>
    <w:basedOn w:val="816"/>
    <w:link w:val="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6">
    <w:name w:val="Heading 8"/>
    <w:basedOn w:val="815"/>
    <w:next w:val="815"/>
    <w:link w:val="6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7">
    <w:name w:val="Heading 8 Char"/>
    <w:basedOn w:val="816"/>
    <w:link w:val="656"/>
    <w:uiPriority w:val="9"/>
    <w:rPr>
      <w:rFonts w:ascii="Arial" w:hAnsi="Arial" w:eastAsia="Arial" w:cs="Arial"/>
      <w:i/>
      <w:iCs/>
      <w:sz w:val="22"/>
      <w:szCs w:val="22"/>
    </w:rPr>
  </w:style>
  <w:style w:type="paragraph" w:styleId="658">
    <w:name w:val="Heading 9"/>
    <w:basedOn w:val="815"/>
    <w:next w:val="815"/>
    <w:link w:val="6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9">
    <w:name w:val="Heading 9 Char"/>
    <w:basedOn w:val="816"/>
    <w:link w:val="658"/>
    <w:uiPriority w:val="9"/>
    <w:rPr>
      <w:rFonts w:ascii="Arial" w:hAnsi="Arial" w:eastAsia="Arial" w:cs="Arial"/>
      <w:i/>
      <w:iCs/>
      <w:sz w:val="21"/>
      <w:szCs w:val="21"/>
    </w:rPr>
  </w:style>
  <w:style w:type="paragraph" w:styleId="660">
    <w:name w:val="No Spacing"/>
    <w:uiPriority w:val="1"/>
    <w:qFormat/>
    <w:pPr>
      <w:spacing w:before="0" w:after="0" w:line="240" w:lineRule="auto"/>
    </w:pPr>
  </w:style>
  <w:style w:type="paragraph" w:styleId="661">
    <w:name w:val="Title"/>
    <w:basedOn w:val="815"/>
    <w:next w:val="815"/>
    <w:link w:val="66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2">
    <w:name w:val="Title Char"/>
    <w:basedOn w:val="816"/>
    <w:link w:val="661"/>
    <w:uiPriority w:val="10"/>
    <w:rPr>
      <w:sz w:val="48"/>
      <w:szCs w:val="48"/>
    </w:rPr>
  </w:style>
  <w:style w:type="paragraph" w:styleId="663">
    <w:name w:val="Subtitle"/>
    <w:basedOn w:val="815"/>
    <w:next w:val="815"/>
    <w:link w:val="664"/>
    <w:uiPriority w:val="11"/>
    <w:qFormat/>
    <w:pPr>
      <w:spacing w:before="200" w:after="200"/>
    </w:pPr>
    <w:rPr>
      <w:sz w:val="24"/>
      <w:szCs w:val="24"/>
    </w:rPr>
  </w:style>
  <w:style w:type="character" w:styleId="664">
    <w:name w:val="Subtitle Char"/>
    <w:basedOn w:val="816"/>
    <w:link w:val="663"/>
    <w:uiPriority w:val="11"/>
    <w:rPr>
      <w:sz w:val="24"/>
      <w:szCs w:val="24"/>
    </w:rPr>
  </w:style>
  <w:style w:type="paragraph" w:styleId="665">
    <w:name w:val="Quote"/>
    <w:basedOn w:val="815"/>
    <w:next w:val="815"/>
    <w:link w:val="666"/>
    <w:uiPriority w:val="29"/>
    <w:qFormat/>
    <w:pPr>
      <w:ind w:left="720" w:right="720"/>
    </w:pPr>
    <w:rPr>
      <w:i/>
    </w:rPr>
  </w:style>
  <w:style w:type="character" w:styleId="666">
    <w:name w:val="Quote Char"/>
    <w:link w:val="665"/>
    <w:uiPriority w:val="29"/>
    <w:rPr>
      <w:i/>
    </w:rPr>
  </w:style>
  <w:style w:type="paragraph" w:styleId="667">
    <w:name w:val="Intense Quote"/>
    <w:basedOn w:val="815"/>
    <w:next w:val="815"/>
    <w:link w:val="66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8">
    <w:name w:val="Intense Quote Char"/>
    <w:link w:val="667"/>
    <w:uiPriority w:val="30"/>
    <w:rPr>
      <w:i/>
    </w:rPr>
  </w:style>
  <w:style w:type="character" w:styleId="669">
    <w:name w:val="Header Char"/>
    <w:basedOn w:val="816"/>
    <w:link w:val="820"/>
    <w:uiPriority w:val="99"/>
  </w:style>
  <w:style w:type="character" w:styleId="670">
    <w:name w:val="Footer Char"/>
    <w:basedOn w:val="816"/>
    <w:link w:val="822"/>
    <w:uiPriority w:val="99"/>
  </w:style>
  <w:style w:type="paragraph" w:styleId="671">
    <w:name w:val="Caption"/>
    <w:basedOn w:val="815"/>
    <w:next w:val="8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2">
    <w:name w:val="Caption Char"/>
    <w:basedOn w:val="671"/>
    <w:link w:val="822"/>
    <w:uiPriority w:val="99"/>
  </w:style>
  <w:style w:type="table" w:styleId="673">
    <w:name w:val="Table Grid Light"/>
    <w:basedOn w:val="8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8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8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8">
    <w:name w:val="footnote text"/>
    <w:basedOn w:val="815"/>
    <w:link w:val="799"/>
    <w:uiPriority w:val="99"/>
    <w:semiHidden/>
    <w:unhideWhenUsed/>
    <w:pPr>
      <w:spacing w:after="40" w:line="240" w:lineRule="auto"/>
    </w:pPr>
    <w:rPr>
      <w:sz w:val="18"/>
    </w:rPr>
  </w:style>
  <w:style w:type="character" w:styleId="799">
    <w:name w:val="Footnote Text Char"/>
    <w:link w:val="798"/>
    <w:uiPriority w:val="99"/>
    <w:rPr>
      <w:sz w:val="18"/>
    </w:rPr>
  </w:style>
  <w:style w:type="character" w:styleId="800">
    <w:name w:val="footnote reference"/>
    <w:basedOn w:val="816"/>
    <w:uiPriority w:val="99"/>
    <w:unhideWhenUsed/>
    <w:rPr>
      <w:vertAlign w:val="superscript"/>
    </w:rPr>
  </w:style>
  <w:style w:type="paragraph" w:styleId="801">
    <w:name w:val="endnote text"/>
    <w:basedOn w:val="815"/>
    <w:link w:val="802"/>
    <w:uiPriority w:val="99"/>
    <w:semiHidden/>
    <w:unhideWhenUsed/>
    <w:pPr>
      <w:spacing w:after="0" w:line="240" w:lineRule="auto"/>
    </w:pPr>
    <w:rPr>
      <w:sz w:val="20"/>
    </w:rPr>
  </w:style>
  <w:style w:type="character" w:styleId="802">
    <w:name w:val="Endnote Text Char"/>
    <w:link w:val="801"/>
    <w:uiPriority w:val="99"/>
    <w:rPr>
      <w:sz w:val="20"/>
    </w:rPr>
  </w:style>
  <w:style w:type="character" w:styleId="803">
    <w:name w:val="endnote reference"/>
    <w:basedOn w:val="816"/>
    <w:uiPriority w:val="99"/>
    <w:semiHidden/>
    <w:unhideWhenUsed/>
    <w:rPr>
      <w:vertAlign w:val="superscript"/>
    </w:rPr>
  </w:style>
  <w:style w:type="paragraph" w:styleId="804">
    <w:name w:val="toc 1"/>
    <w:basedOn w:val="815"/>
    <w:next w:val="815"/>
    <w:uiPriority w:val="39"/>
    <w:unhideWhenUsed/>
    <w:pPr>
      <w:ind w:left="0" w:right="0" w:firstLine="0"/>
      <w:spacing w:after="57"/>
    </w:pPr>
  </w:style>
  <w:style w:type="paragraph" w:styleId="805">
    <w:name w:val="toc 2"/>
    <w:basedOn w:val="815"/>
    <w:next w:val="815"/>
    <w:uiPriority w:val="39"/>
    <w:unhideWhenUsed/>
    <w:pPr>
      <w:ind w:left="283" w:right="0" w:firstLine="0"/>
      <w:spacing w:after="57"/>
    </w:pPr>
  </w:style>
  <w:style w:type="paragraph" w:styleId="806">
    <w:name w:val="toc 3"/>
    <w:basedOn w:val="815"/>
    <w:next w:val="815"/>
    <w:uiPriority w:val="39"/>
    <w:unhideWhenUsed/>
    <w:pPr>
      <w:ind w:left="567" w:right="0" w:firstLine="0"/>
      <w:spacing w:after="57"/>
    </w:pPr>
  </w:style>
  <w:style w:type="paragraph" w:styleId="807">
    <w:name w:val="toc 4"/>
    <w:basedOn w:val="815"/>
    <w:next w:val="815"/>
    <w:uiPriority w:val="39"/>
    <w:unhideWhenUsed/>
    <w:pPr>
      <w:ind w:left="850" w:right="0" w:firstLine="0"/>
      <w:spacing w:after="57"/>
    </w:pPr>
  </w:style>
  <w:style w:type="paragraph" w:styleId="808">
    <w:name w:val="toc 5"/>
    <w:basedOn w:val="815"/>
    <w:next w:val="815"/>
    <w:uiPriority w:val="39"/>
    <w:unhideWhenUsed/>
    <w:pPr>
      <w:ind w:left="1134" w:right="0" w:firstLine="0"/>
      <w:spacing w:after="57"/>
    </w:pPr>
  </w:style>
  <w:style w:type="paragraph" w:styleId="809">
    <w:name w:val="toc 6"/>
    <w:basedOn w:val="815"/>
    <w:next w:val="815"/>
    <w:uiPriority w:val="39"/>
    <w:unhideWhenUsed/>
    <w:pPr>
      <w:ind w:left="1417" w:right="0" w:firstLine="0"/>
      <w:spacing w:after="57"/>
    </w:pPr>
  </w:style>
  <w:style w:type="paragraph" w:styleId="810">
    <w:name w:val="toc 7"/>
    <w:basedOn w:val="815"/>
    <w:next w:val="815"/>
    <w:uiPriority w:val="39"/>
    <w:unhideWhenUsed/>
    <w:pPr>
      <w:ind w:left="1701" w:right="0" w:firstLine="0"/>
      <w:spacing w:after="57"/>
    </w:pPr>
  </w:style>
  <w:style w:type="paragraph" w:styleId="811">
    <w:name w:val="toc 8"/>
    <w:basedOn w:val="815"/>
    <w:next w:val="815"/>
    <w:uiPriority w:val="39"/>
    <w:unhideWhenUsed/>
    <w:pPr>
      <w:ind w:left="1984" w:right="0" w:firstLine="0"/>
      <w:spacing w:after="57"/>
    </w:pPr>
  </w:style>
  <w:style w:type="paragraph" w:styleId="812">
    <w:name w:val="toc 9"/>
    <w:basedOn w:val="815"/>
    <w:next w:val="815"/>
    <w:uiPriority w:val="39"/>
    <w:unhideWhenUsed/>
    <w:pPr>
      <w:ind w:left="2268" w:right="0" w:firstLine="0"/>
      <w:spacing w:after="57"/>
    </w:pPr>
  </w:style>
  <w:style w:type="paragraph" w:styleId="813">
    <w:name w:val="TOC Heading"/>
    <w:uiPriority w:val="39"/>
    <w:unhideWhenUsed/>
  </w:style>
  <w:style w:type="paragraph" w:styleId="814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16" w:default="1">
    <w:name w:val="Default Paragraph Font"/>
    <w:uiPriority w:val="1"/>
    <w:semiHidden/>
    <w:unhideWhenUsed/>
  </w:style>
  <w:style w:type="table" w:styleId="8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8" w:default="1">
    <w:name w:val="No List"/>
    <w:uiPriority w:val="99"/>
    <w:semiHidden/>
    <w:unhideWhenUsed/>
  </w:style>
  <w:style w:type="table" w:styleId="819">
    <w:name w:val="Table Grid"/>
    <w:basedOn w:val="81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20">
    <w:name w:val="Header"/>
    <w:basedOn w:val="815"/>
    <w:link w:val="821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21" w:customStyle="1">
    <w:name w:val="Верхний колонтитул Знак"/>
    <w:basedOn w:val="816"/>
    <w:link w:val="820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22">
    <w:name w:val="Footer"/>
    <w:basedOn w:val="815"/>
    <w:link w:val="823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23" w:customStyle="1">
    <w:name w:val="Нижний колонтитул Знак"/>
    <w:basedOn w:val="816"/>
    <w:link w:val="82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24">
    <w:name w:val="Balloon Text"/>
    <w:basedOn w:val="815"/>
    <w:link w:val="82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25" w:customStyle="1">
    <w:name w:val="Текст выноски Знак"/>
    <w:basedOn w:val="816"/>
    <w:link w:val="824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character" w:styleId="826">
    <w:name w:val="Hyperlink"/>
    <w:basedOn w:val="816"/>
    <w:uiPriority w:val="99"/>
    <w:unhideWhenUsed/>
    <w:rPr>
      <w:color w:val="0000ff" w:themeColor="hyperlink"/>
      <w:u w:val="single"/>
    </w:rPr>
  </w:style>
  <w:style w:type="character" w:styleId="827" w:customStyle="1">
    <w:name w:val="Неразрешенное упоминание1"/>
    <w:basedOn w:val="816"/>
    <w:uiPriority w:val="99"/>
    <w:semiHidden/>
    <w:unhideWhenUsed/>
    <w:rPr>
      <w:color w:val="808080"/>
      <w:shd w:val="clear" w:color="auto" w:fill="e6e6e6"/>
    </w:rPr>
  </w:style>
  <w:style w:type="paragraph" w:styleId="828">
    <w:name w:val="Block Text"/>
    <w:basedOn w:val="815"/>
    <w:pPr>
      <w:ind w:left="-426" w:right="568"/>
      <w:jc w:val="both"/>
      <w:tabs>
        <w:tab w:val="left" w:pos="-426" w:leader="none"/>
      </w:tabs>
    </w:pPr>
    <w:rPr>
      <w:sz w:val="26"/>
    </w:rPr>
  </w:style>
  <w:style w:type="paragraph" w:styleId="829">
    <w:name w:val="Body Text Indent 2"/>
    <w:basedOn w:val="815"/>
    <w:link w:val="830"/>
    <w:pPr>
      <w:ind w:left="720" w:firstLine="720"/>
      <w:jc w:val="both"/>
    </w:pPr>
    <w:rPr>
      <w:sz w:val="26"/>
    </w:rPr>
  </w:style>
  <w:style w:type="character" w:styleId="830" w:customStyle="1">
    <w:name w:val="Основной текст с отступом 2 Знак"/>
    <w:basedOn w:val="816"/>
    <w:link w:val="829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31">
    <w:name w:val="List Paragraph"/>
    <w:basedOn w:val="815"/>
    <w:uiPriority w:val="34"/>
    <w:qFormat/>
    <w:pPr>
      <w:contextualSpacing/>
      <w:ind w:left="720"/>
    </w:pPr>
  </w:style>
  <w:style w:type="character" w:styleId="832">
    <w:name w:val="Unresolved Mention"/>
    <w:basedOn w:val="816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minecprom.ru/" TargetMode="External"/><Relationship Id="rId11" Type="http://schemas.openxmlformats.org/officeDocument/2006/relationships/hyperlink" Target="https://belgorodinvest.com/docs/otsenka-reguliruyushchego-vozdeystviya/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91AA8-EE35-4DB2-8B53-6DDEC7C44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revision>134</cp:revision>
  <dcterms:created xsi:type="dcterms:W3CDTF">2022-10-20T09:54:00Z</dcterms:created>
  <dcterms:modified xsi:type="dcterms:W3CDTF">2026-10-16T11:52:15Z</dcterms:modified>
</cp:coreProperties>
</file>