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 xml:space="preserve">о </w:t>
      </w:r>
      <w:r>
        <w:rPr>
          <w:b/>
          <w:sz w:val="28"/>
        </w:rPr>
        <w:t xml:space="preserve">региональном государственном контроле </w:t>
      </w:r>
      <w:r>
        <w:rPr>
          <w:b/>
          <w:sz w:val="28"/>
          <w:szCs w:val="28"/>
        </w:rPr>
        <w:t xml:space="preserve">(надзоре)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</w:t>
      </w:r>
      <w:r/>
    </w:p>
    <w:p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культурного наследия</w:t>
      </w:r>
      <w:r/>
    </w:p>
    <w:p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10" w:tooltip="consultantplus://offline/ref=796643663F48AE799405563631B6C99AEE89FD1158031C302EA65FD218BB5DC9F0DA7210181BBCE3477AEADAE87EC64BE6A33C0DFBB62EB0m3I4K" w:history="1">
        <w:r>
          <w:rPr>
            <w:sz w:val="28"/>
            <w:szCs w:val="28"/>
          </w:rPr>
          <w:t xml:space="preserve">статьёй 3</w:t>
        </w:r>
      </w:hyperlink>
      <w:r>
        <w:rPr>
          <w:sz w:val="28"/>
          <w:szCs w:val="28"/>
        </w:rPr>
        <w:t xml:space="preserve"> Федерального закона от 31 июля 2020 года</w:t>
      </w:r>
      <w:r>
        <w:rPr>
          <w:sz w:val="28"/>
          <w:szCs w:val="28"/>
        </w:rPr>
        <w:br/>
        <w:t xml:space="preserve">№ 248-ФЗ «О государственном контроле (надзоре) и муниципальном контроле </w:t>
      </w:r>
      <w:r>
        <w:rPr>
          <w:sz w:val="28"/>
          <w:szCs w:val="28"/>
        </w:rPr>
        <w:br/>
        <w:t xml:space="preserve">в Российской Федерации», статьёй 11 </w:t>
      </w:r>
      <w:r>
        <w:rPr>
          <w:bCs/>
          <w:sz w:val="28"/>
          <w:szCs w:val="28"/>
          <w:lang w:eastAsia="ru-RU"/>
        </w:rPr>
        <w:t xml:space="preserve">Федерального закона</w:t>
      </w:r>
      <w:r>
        <w:rPr>
          <w:bCs/>
          <w:sz w:val="28"/>
          <w:szCs w:val="28"/>
          <w:lang w:eastAsia="ru-RU"/>
        </w:rPr>
        <w:br/>
        <w:t xml:space="preserve">от 25 июня 2002 года № 73-ФЗ «Об объектах культурного наследия (памятниках истории и культуры) на</w:t>
      </w:r>
      <w:r>
        <w:rPr>
          <w:bCs/>
          <w:sz w:val="28"/>
          <w:szCs w:val="28"/>
          <w:lang w:eastAsia="ru-RU"/>
        </w:rPr>
        <w:t xml:space="preserve">родов Российской </w:t>
      </w:r>
      <w:r>
        <w:rPr>
          <w:bCs/>
          <w:sz w:val="28"/>
          <w:szCs w:val="28"/>
          <w:lang w:eastAsia="ru-RU"/>
        </w:rPr>
        <w:t xml:space="preserve">Федерации</w:t>
      </w:r>
      <w:r>
        <w:rPr>
          <w:bCs/>
          <w:sz w:val="28"/>
          <w:szCs w:val="28"/>
          <w:lang w:eastAsia="ru-RU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постановлением Правительства Белгородской области от 14 декабря 2015 года № 453-пп «Об утверждении Положения об управлении государственной охраны объектов культурного наследия Белгородской области» </w:t>
      </w:r>
      <w:r>
        <w:rPr>
          <w:bCs/>
          <w:sz w:val="28"/>
          <w:szCs w:val="28"/>
          <w:lang w:eastAsia="ru-RU"/>
        </w:rPr>
        <w:t xml:space="preserve">Правительство </w:t>
      </w:r>
      <w:r>
        <w:rPr>
          <w:bCs/>
          <w:sz w:val="28"/>
          <w:szCs w:val="28"/>
          <w:lang w:eastAsia="ru-RU"/>
        </w:rPr>
        <w:t xml:space="preserve">Белгор</w:t>
      </w:r>
      <w:r>
        <w:rPr>
          <w:bCs/>
          <w:sz w:val="28"/>
          <w:szCs w:val="28"/>
          <w:lang w:eastAsia="ru-RU"/>
        </w:rPr>
        <w:t xml:space="preserve">одской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 о с т а н о в л я е т:</w:t>
      </w:r>
      <w:r/>
    </w:p>
    <w:p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Утвердить прилагаемое </w:t>
      </w:r>
      <w:hyperlink r:id="rId11" w:tooltip="consultantplus://offline/ref=796643663F48AE7994054A3936CC9CC9E08AF4135A071C302EA65FD218BB5DC9F0DA7210181BBCEA407AEADAE87EC64BE6A33C0DFBB62EB0m3I4K" w:history="1">
        <w:r>
          <w:rPr>
            <w:sz w:val="28"/>
            <w:szCs w:val="28"/>
          </w:rPr>
          <w:t xml:space="preserve">Положение</w:t>
        </w:r>
      </w:hyperlink>
      <w:r>
        <w:rPr>
          <w:sz w:val="28"/>
          <w:szCs w:val="28"/>
        </w:rPr>
        <w:t xml:space="preserve"> о </w:t>
      </w:r>
      <w:r>
        <w:rPr>
          <w:sz w:val="28"/>
        </w:rPr>
        <w:t xml:space="preserve">региональном государственном контроле </w:t>
      </w:r>
      <w:r>
        <w:rPr>
          <w:sz w:val="28"/>
          <w:szCs w:val="28"/>
        </w:rPr>
        <w:t xml:space="preserve">(надзоре) за состоянием, содержани</w:t>
      </w:r>
      <w:r>
        <w:rPr>
          <w:sz w:val="28"/>
          <w:szCs w:val="28"/>
        </w:rPr>
        <w:t xml:space="preserve">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 (далее – Положение).</w:t>
      </w:r>
      <w:r/>
    </w:p>
    <w:p>
      <w:pPr>
        <w:ind w:right="-2" w:firstLine="709"/>
        <w:jc w:val="both"/>
        <w:rPr>
          <w:sz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Признать утратившим силу постановления Правительства </w:t>
      </w:r>
      <w:r>
        <w:rPr>
          <w:sz w:val="28"/>
          <w:szCs w:val="18"/>
          <w:lang w:eastAsia="ru-RU"/>
        </w:rPr>
        <w:t xml:space="preserve">Белгородской</w:t>
      </w:r>
      <w:r>
        <w:rPr>
          <w:sz w:val="28"/>
          <w:lang w:eastAsia="ru-RU"/>
        </w:rPr>
        <w:t xml:space="preserve"> </w:t>
      </w:r>
      <w:r>
        <w:rPr>
          <w:sz w:val="28"/>
          <w:szCs w:val="18"/>
          <w:lang w:eastAsia="ru-RU"/>
        </w:rPr>
        <w:t xml:space="preserve">облас</w:t>
      </w:r>
      <w:r>
        <w:rPr>
          <w:sz w:val="28"/>
          <w:szCs w:val="18"/>
          <w:lang w:eastAsia="ru-RU"/>
        </w:rPr>
        <w:t xml:space="preserve">ти от 7 октября 2019 года № 430-пп «Об утверждении административного регламента осуществления управлением государственной охраны объектов культурного наследия Белгородской области регионального государственного надзора за состоянием, содержанием, сохранени</w:t>
      </w:r>
      <w:r>
        <w:rPr>
          <w:sz w:val="28"/>
          <w:szCs w:val="18"/>
          <w:lang w:eastAsia="ru-RU"/>
        </w:rPr>
        <w:t xml:space="preserve">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наследия» и от 25 апреля 2016 года № 118-пп</w:t>
      </w:r>
      <w:r>
        <w:rPr>
          <w:sz w:val="28"/>
          <w:szCs w:val="18"/>
          <w:lang w:eastAsia="ru-RU"/>
        </w:rPr>
        <w:t xml:space="preserve"> «О порядке организации и осуществления регионального государственного надзора </w:t>
      </w:r>
      <w:r>
        <w:rPr>
          <w:sz w:val="28"/>
          <w:szCs w:val="18"/>
          <w:lang w:eastAsia="ru-RU"/>
        </w:rPr>
        <w:br/>
        <w:t xml:space="preserve">за состоянием, содержанием, сохранением, использованием, популяризацией </w:t>
      </w:r>
      <w:r>
        <w:rPr>
          <w:sz w:val="28"/>
          <w:szCs w:val="18"/>
          <w:lang w:eastAsia="ru-RU"/>
        </w:rPr>
        <w:br/>
        <w:t xml:space="preserve">и государственной охраной объектов культурного наследия регионального </w:t>
      </w:r>
      <w:r>
        <w:rPr>
          <w:sz w:val="28"/>
          <w:szCs w:val="18"/>
          <w:lang w:eastAsia="ru-RU"/>
        </w:rPr>
        <w:t xml:space="preserve">значения, объектов культурного наследия местного (муниципального) значения, выявленных объектов культурного наследия»</w:t>
      </w:r>
      <w:r>
        <w:rPr>
          <w:sz w:val="28"/>
          <w:szCs w:val="28"/>
          <w:lang w:eastAsia="ru-RU"/>
        </w:rPr>
        <w:t xml:space="preserve">.</w:t>
      </w:r>
      <w:r/>
    </w:p>
    <w:p>
      <w:pPr>
        <w:ind w:right="-2" w:firstLine="709"/>
        <w:jc w:val="both"/>
        <w:rPr>
          <w:sz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Установить, что реализация полномочий по </w:t>
      </w:r>
      <w:r>
        <w:rPr>
          <w:sz w:val="28"/>
        </w:rPr>
        <w:t xml:space="preserve">региональному государственному контролю </w:t>
      </w:r>
      <w:r>
        <w:rPr>
          <w:sz w:val="28"/>
          <w:szCs w:val="28"/>
        </w:rPr>
        <w:t xml:space="preserve">(надзору) за состоянием, содержанием, сохранением, использованием, популяризацией и государственной охраной</w:t>
      </w:r>
      <w:r>
        <w:rPr>
          <w:sz w:val="28"/>
          <w:szCs w:val="28"/>
        </w:rPr>
        <w:t xml:space="preserve">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осуществляется управлением государственной охраны объектов культурного наследия Белгородской.</w:t>
      </w:r>
      <w:r/>
    </w:p>
    <w:p>
      <w:pPr>
        <w:ind w:right="-2" w:firstLine="709"/>
        <w:jc w:val="both"/>
        <w:rPr>
          <w:sz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постановления возложить на заместителя Губернатора Белгородской области Н.Н. Зубареву.</w:t>
      </w:r>
      <w:r/>
    </w:p>
    <w:p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опубликования.</w:t>
      </w:r>
      <w:r/>
    </w:p>
    <w:p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3403"/>
        <w:gridCol w:w="2551"/>
      </w:tblGrid>
      <w:tr>
        <w:trPr>
          <w:trHeight w:val="430"/>
        </w:trPr>
        <w:tc>
          <w:tcPr>
            <w:tcW w:w="3969" w:type="dxa"/>
            <w:textDirection w:val="lrTb"/>
            <w:noWrap w:val="false"/>
          </w:tcPr>
          <w:p>
            <w:pPr>
              <w:pStyle w:val="687"/>
              <w:ind w:right="-2" w:firstLine="0"/>
              <w:jc w:val="center"/>
              <w:spacing w:lineRule="auto" w:lin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Временно </w:t>
            </w:r>
            <w:r>
              <w:rPr>
                <w:b/>
                <w:sz w:val="28"/>
                <w:szCs w:val="28"/>
              </w:rPr>
              <w:t xml:space="preserve">исполняющий</w:t>
            </w:r>
            <w:r>
              <w:rPr>
                <w:b/>
                <w:sz w:val="28"/>
                <w:szCs w:val="28"/>
              </w:rPr>
              <w:t xml:space="preserve"> обязанности Губернатора</w:t>
            </w:r>
            <w:r/>
          </w:p>
          <w:p>
            <w:pPr>
              <w:pStyle w:val="687"/>
              <w:ind w:right="-2" w:firstLine="0"/>
              <w:jc w:val="center"/>
              <w:spacing w:lineRule="auto" w:lin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Белгородской области</w:t>
            </w:r>
            <w:r/>
          </w:p>
        </w:tc>
        <w:tc>
          <w:tcPr>
            <w:tcW w:w="3403" w:type="dxa"/>
            <w:textDirection w:val="lrTb"/>
            <w:noWrap w:val="false"/>
          </w:tcPr>
          <w:p>
            <w:pPr>
              <w:pStyle w:val="687"/>
              <w:ind w:right="-2" w:firstLine="0"/>
              <w:spacing w:lineRule="auto" w:lin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87"/>
              <w:ind w:right="-2" w:firstLine="0"/>
              <w:jc w:val="center"/>
              <w:spacing w:lineRule="auto" w:lin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87"/>
              <w:ind w:right="-2" w:firstLine="0"/>
              <w:jc w:val="right"/>
              <w:spacing w:lineRule="auto" w:lin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87"/>
              <w:ind w:right="-2" w:firstLine="0"/>
              <w:jc w:val="right"/>
              <w:spacing w:lineRule="auto" w:lin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В.В. Гладков</w:t>
            </w:r>
            <w:r/>
          </w:p>
        </w:tc>
      </w:tr>
    </w:tbl>
    <w:p>
      <w:pPr>
        <w:ind w:right="-2"/>
        <w:rPr>
          <w:sz w:val="26"/>
        </w:rPr>
        <w:sectPr>
          <w:headerReference w:type="default" r:id="rId8"/>
          <w:headerReference w:type="even" r:id="rId9"/>
          <w:footnotePr/>
          <w:type w:val="nextPage"/>
          <w:pgSz w:w="11905" w:h="16837" w:orient="portrait"/>
          <w:pgMar w:top="1134" w:right="567" w:bottom="1134" w:left="1701" w:header="709" w:footer="709" w:gutter="0"/>
          <w:cols w:num="1" w:sep="0" w:space="720" w:equalWidth="1"/>
          <w:docGrid w:linePitch="360"/>
          <w:titlePg/>
        </w:sectPr>
      </w:pPr>
      <w:r>
        <w:rPr>
          <w:sz w:val="26"/>
        </w:rPr>
      </w:r>
      <w:r/>
    </w:p>
    <w:p>
      <w:pPr>
        <w:ind w:right="-2"/>
        <w:rPr>
          <w:sz w:val="26"/>
        </w:rPr>
      </w:pPr>
      <w:r>
        <w:rPr>
          <w:sz w:val="26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09"/>
      </w:tblGrid>
      <w:tr>
        <w:trPr>
          <w:trHeight w:val="1435"/>
        </w:trPr>
        <w:tc>
          <w:tcPr>
            <w:shd w:val="clear" w:color="auto" w:fill="FFFFFF"/>
            <w:tcW w:w="4361" w:type="dxa"/>
            <w:textDirection w:val="lrTb"/>
            <w:noWrap w:val="false"/>
          </w:tcPr>
          <w:p>
            <w:pPr>
              <w:ind w:right="-2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shd w:val="clear" w:color="auto" w:fill="FFFFFF"/>
            <w:tcW w:w="5209" w:type="dxa"/>
            <w:textDirection w:val="lrTb"/>
            <w:noWrap w:val="false"/>
          </w:tcPr>
          <w:p>
            <w:pPr>
              <w:pStyle w:val="666"/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</w:t>
            </w:r>
            <w:r/>
          </w:p>
          <w:p>
            <w:pPr>
              <w:ind w:right="-2"/>
              <w:jc w:val="center"/>
              <w:tabs>
                <w:tab w:val="left" w:pos="0" w:leader="none"/>
              </w:tabs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к постановлению Правительства Белгородской области </w:t>
            </w:r>
            <w:r/>
          </w:p>
          <w:p>
            <w:pPr>
              <w:ind w:right="-2"/>
              <w:jc w:val="center"/>
              <w:tabs>
                <w:tab w:val="left" w:pos="0" w:leader="none"/>
              </w:tabs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от __________________ 2021 г. </w:t>
            </w:r>
            <w:r/>
          </w:p>
          <w:p>
            <w:pPr>
              <w:ind w:right="-2"/>
              <w:jc w:val="center"/>
              <w:tabs>
                <w:tab w:val="left" w:pos="0" w:leader="none"/>
              </w:tabs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№ ______</w:t>
            </w:r>
            <w:r/>
          </w:p>
          <w:p>
            <w:pPr>
              <w:ind w:right="-2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</w:tbl>
    <w:p>
      <w:pPr>
        <w:ind w:right="-2"/>
        <w:rPr>
          <w:sz w:val="28"/>
        </w:rPr>
      </w:pPr>
      <w:r>
        <w:rPr>
          <w:sz w:val="28"/>
        </w:rPr>
      </w:r>
      <w:r/>
    </w:p>
    <w:p>
      <w:pPr>
        <w:pStyle w:val="665"/>
        <w:ind w:right="-2" w:firstLine="0"/>
        <w:jc w:val="center"/>
        <w:tabs>
          <w:tab w:val="left" w:pos="1276" w:leader="none"/>
        </w:tabs>
        <w:rPr>
          <w:rFonts w:ascii="Times New Roman" w:hAnsi="Times New Roman"/>
          <w:b/>
          <w:sz w:val="28"/>
          <w:szCs w:val="28"/>
        </w:rPr>
      </w:pPr>
      <w:r/>
      <w:hyperlink r:id="rId12" w:tooltip="consultantplus://offline/ref=796643663F48AE7994054A3936CC9CC9E08AF4135A071C302EA65FD218BB5DC9F0DA7210181BBCEA407AEADAE87EC64BE6A33C0DFBB62EB0m3I4K" w:history="1">
        <w:r>
          <w:rPr>
            <w:rFonts w:ascii="Times New Roman" w:hAnsi="Times New Roman"/>
            <w:b/>
            <w:sz w:val="28"/>
            <w:szCs w:val="28"/>
          </w:rPr>
          <w:t xml:space="preserve">Положение</w:t>
        </w:r>
      </w:hyperlink>
      <w:r>
        <w:rPr>
          <w:rFonts w:ascii="Times New Roman" w:hAnsi="Times New Roman"/>
          <w:b/>
          <w:sz w:val="28"/>
          <w:szCs w:val="28"/>
        </w:rPr>
        <w:t xml:space="preserve"> о </w:t>
      </w:r>
      <w:r>
        <w:rPr>
          <w:rFonts w:ascii="Times New Roman" w:hAnsi="Times New Roman"/>
          <w:b/>
          <w:sz w:val="28"/>
        </w:rPr>
        <w:t xml:space="preserve">региональном государственном контроле </w:t>
      </w:r>
      <w:r>
        <w:rPr>
          <w:rFonts w:ascii="Times New Roman" w:hAnsi="Times New Roman"/>
          <w:b/>
          <w:sz w:val="28"/>
          <w:szCs w:val="28"/>
        </w:rPr>
        <w:t xml:space="preserve">(надзоре) </w:t>
      </w:r>
      <w:r>
        <w:rPr>
          <w:rFonts w:ascii="Times New Roman" w:hAnsi="Times New Roman"/>
          <w:b/>
          <w:sz w:val="28"/>
          <w:szCs w:val="28"/>
        </w:rPr>
        <w:br/>
        <w:t xml:space="preserve">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</w:t>
      </w:r>
      <w:r>
        <w:rPr>
          <w:rFonts w:ascii="Times New Roman" w:hAnsi="Times New Roman"/>
          <w:b/>
          <w:sz w:val="28"/>
          <w:szCs w:val="28"/>
        </w:rPr>
        <w:br/>
        <w:t xml:space="preserve">объектов культурного наследия</w:t>
      </w:r>
      <w:r/>
    </w:p>
    <w:p>
      <w:pPr>
        <w:ind w:right="-2"/>
        <w:jc w:val="center"/>
        <w:rPr>
          <w:b/>
          <w:sz w:val="26"/>
        </w:rPr>
      </w:pPr>
      <w:r>
        <w:rPr>
          <w:b/>
          <w:sz w:val="26"/>
        </w:rPr>
      </w:r>
      <w:r/>
    </w:p>
    <w:p>
      <w:pPr>
        <w:pStyle w:val="662"/>
        <w:ind w:right="-2"/>
        <w:jc w:val="center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</w:t>
      </w:r>
      <w:r/>
    </w:p>
    <w:p>
      <w:pPr>
        <w:pStyle w:val="665"/>
        <w:ind w:right="-2" w:firstLine="540"/>
        <w:jc w:val="both"/>
        <w:tabs>
          <w:tab w:val="left" w:pos="1276" w:leader="none"/>
        </w:tabs>
      </w:pPr>
      <w:r/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  <w:pBdr>
          <w:right w:val="none" w:color="000000" w:sz="4" w:space="4"/>
        </w:pBdr>
      </w:pPr>
      <w:r>
        <w:rPr>
          <w:sz w:val="28"/>
          <w:szCs w:val="28"/>
        </w:rPr>
        <w:t xml:space="preserve">Настоящее Положение уст</w:t>
      </w:r>
      <w:r>
        <w:rPr>
          <w:sz w:val="28"/>
          <w:szCs w:val="28"/>
        </w:rPr>
        <w:t xml:space="preserve">анавливает порядок организации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осуществления регионального государственного контроля (надзора) </w:t>
      </w:r>
      <w:r>
        <w:rPr>
          <w:sz w:val="28"/>
          <w:szCs w:val="28"/>
        </w:rPr>
        <w:br/>
        <w:t xml:space="preserve">за состоянием, содержанием, сохранением, использованием, популяризацией </w:t>
      </w:r>
      <w:r>
        <w:rPr>
          <w:sz w:val="28"/>
          <w:szCs w:val="28"/>
        </w:rPr>
        <w:br/>
        <w:t xml:space="preserve">и государственной охраной объектов культурного наследия регионального значения, объе</w:t>
      </w:r>
      <w:r>
        <w:rPr>
          <w:sz w:val="28"/>
          <w:szCs w:val="28"/>
        </w:rPr>
        <w:t xml:space="preserve">ктов культурного наследия местного (муниципального) значения, выявленных объектов культурного наследия, объектов, обладающих признаками объекта культурного наследия (далее – государственный контроль (надзор) в области охраны объектов культурного наследия).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  <w:pBdr>
          <w:right w:val="none" w:color="000000" w:sz="4" w:space="4"/>
        </w:pBdr>
      </w:pPr>
      <w:r>
        <w:rPr>
          <w:sz w:val="28"/>
          <w:szCs w:val="28"/>
        </w:rPr>
        <w:t xml:space="preserve">К отношениям, связанным с осуществлением государственного контроля (надзора) в области охраны объектов культурного наследия, организацией и</w:t>
      </w:r>
      <w:r>
        <w:rPr>
          <w:sz w:val="28"/>
          <w:szCs w:val="28"/>
        </w:rPr>
        <w:t xml:space="preserve"> проведением профилактических мероприятий и контрольных (надзорных) мероприятий в отношении объектов государственного контроля (надзора) (далее – объект контроля, контролируемые лица) применяются положения Федерального закона от 31 июля 2020 года № 248-ФЗ </w:t>
      </w:r>
      <w:r>
        <w:rPr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 (далее – Федеральный закон № 248-ФЗ), Федерального закона</w:t>
      </w:r>
      <w:r>
        <w:rPr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 (далее – Федеральный закон № 73-ФЗ).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  <w:pBdr>
          <w:right w:val="none" w:color="000000" w:sz="4" w:space="4"/>
        </w:pBdr>
      </w:pPr>
      <w:r>
        <w:rPr>
          <w:sz w:val="28"/>
          <w:szCs w:val="28"/>
        </w:rPr>
        <w:t xml:space="preserve">Предметом государственного контроля (надзора) в области охраны объектов культурного наследия является соблюдение юридическими лицами, индивидуальными предпринимателями и гражданами (да</w:t>
      </w:r>
      <w:r>
        <w:rPr>
          <w:sz w:val="28"/>
          <w:szCs w:val="28"/>
        </w:rPr>
        <w:t xml:space="preserve">лее – контролируемые лица) в отношении объектов культурного наследия регионального значения, местного (муниципального) значения, выявленных объектов культурного наследия и объектов, обладающих признаками объекта культурного наследия в соответствии со стать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й 3 Федерального закона № 73-ФЗ, зон охраны объектов культурного наследия регионального значения, зон охраны объектов</w:t>
      </w:r>
      <w:r>
        <w:rPr>
          <w:sz w:val="28"/>
          <w:szCs w:val="28"/>
        </w:rPr>
        <w:t xml:space="preserve"> культурного наследия местного (муниципального) значения, защитных зон </w:t>
      </w:r>
      <w:r>
        <w:rPr>
          <w:sz w:val="28"/>
          <w:szCs w:val="28"/>
        </w:rPr>
        <w:t xml:space="preserve">объектов культурного наследия регионального значения, защитных зон </w:t>
      </w:r>
      <w:r>
        <w:rPr>
          <w:sz w:val="28"/>
          <w:szCs w:val="28"/>
        </w:rPr>
        <w:t xml:space="preserve">объектов культурного наследия местного (муниципального) значения, а также исторических поселений (за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исключением расположенных на их территории отдельных объектов культурного федерального значения, перечень которых устанавливается Правительством Российской Федерации в соответствии с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 пунктом 1 статьи 91 Федерального закона № 73-ФЗ) установленных Федеральным законом № 73-ФЗ, другими федеральными законами, принимаемыми в соответствии с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ними нормативными правовыми актами Российской Федерации, законами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наследия, включая:</w:t>
      </w:r>
      <w:r/>
    </w:p>
    <w:p>
      <w:pPr>
        <w:pStyle w:val="499"/>
        <w:numPr>
          <w:ilvl w:val="0"/>
          <w:numId w:val="4"/>
        </w:numPr>
        <w:ind w:left="0" w:right="-2" w:firstLine="709"/>
        <w:tabs>
          <w:tab w:val="left" w:pos="992" w:leader="none"/>
          <w:tab w:val="left" w:pos="1276" w:leader="none"/>
        </w:tabs>
      </w:pPr>
      <w:r>
        <w:rPr>
          <w:sz w:val="28"/>
          <w:szCs w:val="28"/>
        </w:rPr>
        <w:t xml:space="preserve">требования охранных обязательств собственников или иных законных владельцев объектов культурного наследия;</w:t>
      </w:r>
      <w:r/>
    </w:p>
    <w:p>
      <w:pPr>
        <w:pStyle w:val="499"/>
        <w:numPr>
          <w:ilvl w:val="0"/>
          <w:numId w:val="4"/>
        </w:numPr>
        <w:ind w:left="0" w:right="-2" w:firstLine="709"/>
        <w:tabs>
          <w:tab w:val="left" w:pos="992" w:leader="none"/>
          <w:tab w:val="left" w:pos="1276" w:leader="none"/>
        </w:tabs>
      </w:pPr>
      <w:r>
        <w:rPr>
          <w:sz w:val="28"/>
          <w:szCs w:val="28"/>
        </w:rPr>
        <w:t xml:space="preserve">требования к содержанию и использованию объекта культурного наследия, требования к сохранению объекта культурного наследия, требования к обеспечению доступа к объекту культурного наследия;</w:t>
      </w:r>
      <w:r/>
    </w:p>
    <w:p>
      <w:pPr>
        <w:pStyle w:val="499"/>
        <w:numPr>
          <w:ilvl w:val="0"/>
          <w:numId w:val="4"/>
        </w:numPr>
        <w:ind w:left="0" w:right="-2" w:firstLine="709"/>
        <w:tabs>
          <w:tab w:val="left" w:pos="992" w:leader="none"/>
          <w:tab w:val="left" w:pos="1276" w:leader="none"/>
        </w:tabs>
      </w:pPr>
      <w:r>
        <w:rPr>
          <w:sz w:val="28"/>
          <w:szCs w:val="28"/>
        </w:rPr>
        <w:t xml:space="preserve">требования к градостроительным регламентам в границах территорий зон охраны объекта культурного наследия, в границах территории достопримечательного места, в границах территории исторического поселения и с </w:t>
      </w:r>
      <w:r>
        <w:rPr>
          <w:sz w:val="28"/>
          <w:szCs w:val="28"/>
        </w:rPr>
        <w:t xml:space="preserve">уч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установленных для этих территорий особых режимов использования земель;</w:t>
      </w:r>
      <w:r/>
    </w:p>
    <w:p>
      <w:pPr>
        <w:pStyle w:val="499"/>
        <w:numPr>
          <w:ilvl w:val="0"/>
          <w:numId w:val="4"/>
        </w:numPr>
        <w:ind w:left="0" w:right="-2" w:firstLine="709"/>
        <w:tabs>
          <w:tab w:val="left" w:pos="992" w:leader="none"/>
          <w:tab w:val="left" w:pos="1276" w:leader="none"/>
        </w:tabs>
      </w:pPr>
      <w:r>
        <w:rPr>
          <w:sz w:val="28"/>
          <w:szCs w:val="28"/>
        </w:rPr>
        <w:t xml:space="preserve">требования, содержащиеся в разрешительных документах, выданных Управлением, муниципальными органами охраны объектов культурного наследия в соответствии с законодательством об охране объектов культурного наследия;</w:t>
      </w:r>
      <w:r/>
    </w:p>
    <w:p>
      <w:pPr>
        <w:pStyle w:val="499"/>
        <w:numPr>
          <w:ilvl w:val="0"/>
          <w:numId w:val="4"/>
        </w:numPr>
        <w:ind w:left="0" w:right="-2" w:firstLine="709"/>
        <w:tabs>
          <w:tab w:val="left" w:pos="992" w:leader="none"/>
          <w:tab w:val="left" w:pos="1276" w:leader="none"/>
        </w:tabs>
      </w:pPr>
      <w:r>
        <w:rPr>
          <w:sz w:val="28"/>
          <w:szCs w:val="28"/>
        </w:rPr>
        <w:t xml:space="preserve">требования к проведению работ по сохранению объектов культурного наследия, в том числе о соответствии работ согласованной проектной документации и разрешению на проведение работ по их сохранению;</w:t>
      </w:r>
      <w:r/>
    </w:p>
    <w:p>
      <w:pPr>
        <w:pStyle w:val="499"/>
        <w:numPr>
          <w:ilvl w:val="0"/>
          <w:numId w:val="4"/>
        </w:numPr>
        <w:ind w:left="0" w:right="-2" w:firstLine="709"/>
        <w:tabs>
          <w:tab w:val="left" w:pos="992" w:leader="none"/>
          <w:tab w:val="left" w:pos="1276" w:leader="none"/>
        </w:tabs>
      </w:pPr>
      <w:r>
        <w:rPr>
          <w:sz w:val="28"/>
          <w:szCs w:val="28"/>
        </w:rPr>
        <w:t xml:space="preserve">требования к осуществлению деятельности в границах территории объекта культурного наследия, в границах территорий зон охраны объекта культурного наследия, защитной зоны объекта культурного наследия,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границах территории достопримечательного ме</w:t>
      </w:r>
      <w:r>
        <w:rPr>
          <w:sz w:val="28"/>
          <w:szCs w:val="28"/>
        </w:rPr>
        <w:t xml:space="preserve">ста, в границах территории исторического поселения либо требования особого режима использования земельного участка, водного объекта или его части, в границах которых располагается объект археологического наследия, установленные Федеральным законом № 73-ФЗ;</w:t>
      </w:r>
      <w:r/>
    </w:p>
    <w:p>
      <w:pPr>
        <w:pStyle w:val="499"/>
        <w:numPr>
          <w:ilvl w:val="0"/>
          <w:numId w:val="4"/>
        </w:numPr>
        <w:ind w:left="0" w:right="-2" w:firstLine="709"/>
        <w:tabs>
          <w:tab w:val="left" w:pos="992" w:leader="none"/>
          <w:tab w:val="left" w:pos="1276" w:leader="none"/>
        </w:tabs>
      </w:pPr>
      <w:r>
        <w:rPr>
          <w:sz w:val="28"/>
          <w:szCs w:val="28"/>
        </w:rPr>
        <w:t xml:space="preserve">требования по обеспечению доступности для инвалидов объектов социальной, инженерной и транспортной инфраструктур и предоставляемых услуг;</w:t>
      </w:r>
      <w:r/>
    </w:p>
    <w:p>
      <w:pPr>
        <w:pStyle w:val="499"/>
        <w:numPr>
          <w:ilvl w:val="0"/>
          <w:numId w:val="4"/>
        </w:numPr>
        <w:ind w:left="0" w:right="-2" w:firstLine="709"/>
        <w:tabs>
          <w:tab w:val="left" w:pos="992" w:leader="none"/>
          <w:tab w:val="left" w:pos="1276" w:leader="none"/>
        </w:tabs>
      </w:pPr>
      <w:r>
        <w:rPr>
          <w:sz w:val="28"/>
          <w:szCs w:val="28"/>
        </w:rPr>
        <w:t xml:space="preserve">меры по обеспечению сохранности объекта культурного наследия, включенного в </w:t>
      </w:r>
      <w:r>
        <w:rPr>
          <w:sz w:val="28"/>
          <w:szCs w:val="28"/>
        </w:rPr>
        <w:t xml:space="preserve">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наследия, а также объекта, обладающего признаками объекта культурного наследия в соответствии со стать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й 3 </w:t>
      </w:r>
      <w:r>
        <w:rPr>
          <w:sz w:val="28"/>
          <w:szCs w:val="28"/>
        </w:rPr>
        <w:t xml:space="preserve">Федерального закона № 73-ФЗ, обнаруженного в ходе проведения изыскательских, проектных, земляных, строительных, мелиоративных, хозяйственных работ, указанных в статье 30 указанного Федерального закона</w:t>
      </w:r>
      <w:r>
        <w:rPr>
          <w:sz w:val="28"/>
          <w:szCs w:val="28"/>
        </w:rPr>
        <w:t xml:space="preserve">, работ по использованию лесов и иных работ, в том числе меры, предусмотренные проектной документацией на строительство, реконструкцию, капитальный ремонт объектов капитального строительства, на проведение работ по сохранению объектов культурного наследия.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контроль (надзор) в области охраны объектов культурного наследия осуществляется управлением государственной охраны объектов культурного наследия Белгородской области (далее – Управление).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Государственный контроль (надзор) в области охраны объектов культурного наследия вправе осуществлять следующие должностные лица Управления:</w:t>
      </w:r>
      <w:r/>
    </w:p>
    <w:p>
      <w:pPr>
        <w:pStyle w:val="499"/>
        <w:numPr>
          <w:ilvl w:val="0"/>
          <w:numId w:val="5"/>
        </w:numPr>
        <w:ind w:left="0" w:right="-2" w:firstLine="709"/>
        <w:tabs>
          <w:tab w:val="left" w:pos="992" w:leader="none"/>
          <w:tab w:val="left" w:pos="1276" w:leader="none"/>
        </w:tabs>
      </w:pPr>
      <w:r>
        <w:rPr>
          <w:sz w:val="28"/>
          <w:szCs w:val="28"/>
        </w:rPr>
        <w:t xml:space="preserve">начальник Управления;</w:t>
      </w:r>
      <w:r/>
    </w:p>
    <w:p>
      <w:pPr>
        <w:pStyle w:val="499"/>
        <w:numPr>
          <w:ilvl w:val="0"/>
          <w:numId w:val="5"/>
        </w:numPr>
        <w:ind w:left="0" w:right="-2" w:firstLine="709"/>
        <w:tabs>
          <w:tab w:val="left" w:pos="992" w:leader="none"/>
          <w:tab w:val="left" w:pos="1276" w:leader="none"/>
        </w:tabs>
      </w:pPr>
      <w:r>
        <w:rPr>
          <w:sz w:val="28"/>
          <w:szCs w:val="28"/>
        </w:rPr>
        <w:t xml:space="preserve">заместитель начальника Управления; </w:t>
      </w:r>
      <w:r/>
    </w:p>
    <w:p>
      <w:pPr>
        <w:pStyle w:val="499"/>
        <w:numPr>
          <w:ilvl w:val="0"/>
          <w:numId w:val="5"/>
        </w:numPr>
        <w:ind w:left="0" w:right="-2" w:firstLine="709"/>
        <w:tabs>
          <w:tab w:val="left" w:pos="992" w:leader="none"/>
          <w:tab w:val="left" w:pos="1276" w:leader="none"/>
        </w:tabs>
      </w:pPr>
      <w:r>
        <w:rPr>
          <w:sz w:val="28"/>
          <w:szCs w:val="28"/>
        </w:rPr>
        <w:t xml:space="preserve">иные должностные лица Управления, </w:t>
      </w:r>
      <w:r>
        <w:rPr>
          <w:sz w:val="28"/>
        </w:rPr>
        <w:t xml:space="preserve">уполномоченные на</w:t>
      </w:r>
      <w:r>
        <w:rPr>
          <w:sz w:val="28"/>
        </w:rPr>
        <w:t xml:space="preserve"> </w:t>
      </w:r>
      <w:r>
        <w:rPr>
          <w:sz w:val="28"/>
        </w:rPr>
        <w:t xml:space="preserve">осуществление </w:t>
      </w:r>
      <w:r>
        <w:rPr>
          <w:sz w:val="28"/>
          <w:szCs w:val="28"/>
        </w:rPr>
        <w:t xml:space="preserve">государственного контроля (надзора) в области охраны объектов культурного наследия</w:t>
      </w:r>
      <w:r>
        <w:rPr>
          <w:sz w:val="28"/>
        </w:rPr>
        <w:t xml:space="preserve"> в соответствии с перечнем, утверждаемым приказом начальника Управления.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Принятие решений о проведении контрольных (надзорных) мероприятий осуществляет начальник (заместитель начальника) Управления.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  <w:rPr>
          <w:sz w:val="28"/>
        </w:rPr>
      </w:pPr>
      <w:r>
        <w:rPr>
          <w:sz w:val="28"/>
          <w:szCs w:val="28"/>
        </w:rPr>
        <w:t xml:space="preserve">Должностные лица Управления, осуществляющие государственный контроль (надзор) в области охраны объектов культурного наследия, при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проведении контрольного (надзорного) мероприятия в пределах своих полномочий и в объёме проводимых контрольных (надзорных) действий пользуются правами и обязанностями, </w:t>
      </w:r>
      <w:r>
        <w:rPr>
          <w:sz w:val="28"/>
        </w:rPr>
        <w:t xml:space="preserve">установленными </w:t>
      </w:r>
      <w:hyperlink r:id="rId13" w:tooltip="http://mobileonline.garant.ru/document/redirect/74449814/29" w:history="1">
        <w:r>
          <w:rPr>
            <w:sz w:val="28"/>
          </w:rPr>
          <w:t xml:space="preserve">стать</w:t>
        </w:r>
        <w:r>
          <w:rPr>
            <w:sz w:val="28"/>
          </w:rPr>
          <w:t xml:space="preserve">ё</w:t>
        </w:r>
        <w:r>
          <w:rPr>
            <w:sz w:val="28"/>
          </w:rPr>
          <w:t xml:space="preserve">й 29</w:t>
        </w:r>
      </w:hyperlink>
      <w:r>
        <w:rPr>
          <w:sz w:val="28"/>
        </w:rPr>
        <w:t xml:space="preserve"> </w:t>
      </w:r>
      <w:r>
        <w:rPr>
          <w:sz w:val="28"/>
          <w:szCs w:val="28"/>
        </w:rPr>
        <w:t xml:space="preserve">Федерального закона № 248-ФЗ, а также</w:t>
      </w:r>
      <w:r>
        <w:rPr>
          <w:sz w:val="28"/>
        </w:rPr>
        <w:t xml:space="preserve"> </w:t>
      </w:r>
      <w:hyperlink r:id="rId14" w:tooltip="http://mobileonline.garant.ru/document/redirect/12127232/11" w:history="1">
        <w:r>
          <w:rPr>
            <w:sz w:val="28"/>
          </w:rPr>
          <w:t xml:space="preserve">стать</w:t>
        </w:r>
        <w:r>
          <w:rPr>
            <w:sz w:val="28"/>
          </w:rPr>
          <w:t xml:space="preserve">ё</w:t>
        </w:r>
        <w:r>
          <w:rPr>
            <w:sz w:val="28"/>
          </w:rPr>
          <w:t xml:space="preserve">й 11</w:t>
        </w:r>
      </w:hyperlink>
      <w:r>
        <w:rPr>
          <w:sz w:val="28"/>
        </w:rPr>
        <w:t xml:space="preserve"> Федерального закона </w:t>
      </w:r>
      <w:r>
        <w:rPr>
          <w:sz w:val="28"/>
        </w:rPr>
        <w:br/>
      </w:r>
      <w:r>
        <w:rPr>
          <w:sz w:val="28"/>
        </w:rPr>
        <w:t xml:space="preserve">№ 73-ФЗ.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Государственный контроль (надзор) в области охраны объектов культурного наследия осуществляется в отношении следующих объектов контроля:</w:t>
      </w:r>
      <w:r/>
    </w:p>
    <w:p>
      <w:pPr>
        <w:pStyle w:val="499"/>
        <w:numPr>
          <w:ilvl w:val="0"/>
          <w:numId w:val="3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деятельность, действия (бездействие) контролируемых лиц по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содержанию, сохранению, использованию, популяризации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государственной охране объектов культурного наследия регионального значения, объектов культурного наследия местного (муниципального) значения, выявленных объек</w:t>
      </w:r>
      <w:r>
        <w:rPr>
          <w:sz w:val="28"/>
          <w:szCs w:val="28"/>
        </w:rPr>
        <w:t xml:space="preserve">тов культурного наследия, объектов, обладающих признаками объекта культурного наследия (далее – объекты культурного наследия, объекты контроля), а также соблюдению контролируемыми лицами обязательных требований в отношении объектов культурного наследия, их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территорий, защитных зон и зон охраны;</w:t>
      </w:r>
      <w:r/>
    </w:p>
    <w:p>
      <w:pPr>
        <w:pStyle w:val="499"/>
        <w:numPr>
          <w:ilvl w:val="0"/>
          <w:numId w:val="3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объекты культурного наследия, территории объектов культурного наследия, зоны охраны объектов культурного наследия, защитные зоны объектов культурного наследия.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т объектов контроля</w:t>
      </w:r>
      <w:r>
        <w:rPr>
          <w:sz w:val="28"/>
          <w:szCs w:val="28"/>
        </w:rPr>
        <w:t xml:space="preserve"> осуществляется Управлением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частью 2 статьи 16 и частью 5 статьи 17 Федерального закона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248-ФЗ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том числе с использованием ведомственной информационной системы. </w:t>
      </w:r>
      <w:r/>
    </w:p>
    <w:p>
      <w:pPr>
        <w:pStyle w:val="499"/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При сборе, обработке, анализе и уч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те сведений об объектах контроля для целей их уч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та используется информация, представляемая в соответствии с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нормативными правовыми актами, информация, получаемая в рамках межведомственного взаимодействия, а также общедоступная информация.</w:t>
      </w:r>
      <w:r/>
    </w:p>
    <w:p>
      <w:pPr>
        <w:pStyle w:val="499"/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уч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r>
        <w:rPr>
          <w:sz w:val="28"/>
          <w:szCs w:val="28"/>
        </w:rPr>
        <w:t xml:space="preserve">также,</w:t>
      </w:r>
      <w:r>
        <w:rPr>
          <w:sz w:val="28"/>
          <w:szCs w:val="28"/>
        </w:rPr>
        <w:t xml:space="preserve"> если соответствующие сведения, документы содержатся в государственных или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муниципальных информационных ресурсах.</w:t>
      </w:r>
      <w:r/>
    </w:p>
    <w:p>
      <w:pPr>
        <w:pStyle w:val="499"/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Перечни объектов контроля подлежат размещению на официальном сайте Управления в сети «Интернет».</w:t>
      </w:r>
      <w:r/>
    </w:p>
    <w:p>
      <w:pPr>
        <w:pStyle w:val="499"/>
        <w:ind w:left="0" w:right="-2" w:firstLine="0"/>
        <w:jc w:val="center"/>
        <w:tabs>
          <w:tab w:val="left" w:pos="1276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pStyle w:val="499"/>
        <w:ind w:left="0" w:right="-2" w:firstLine="0"/>
        <w:jc w:val="center"/>
        <w:tabs>
          <w:tab w:val="left" w:pos="127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Управление рисками причинения вреда (ущерба) </w:t>
      </w:r>
      <w:r>
        <w:rPr>
          <w:b/>
          <w:sz w:val="28"/>
          <w:szCs w:val="28"/>
        </w:rPr>
        <w:br/>
        <w:t xml:space="preserve">охраняемым законом ценностям при осуществлении </w:t>
      </w:r>
      <w:r>
        <w:rPr>
          <w:b/>
          <w:sz w:val="28"/>
          <w:szCs w:val="28"/>
        </w:rPr>
        <w:br/>
        <w:t xml:space="preserve">государственного контроля (надзора) в области охраны</w:t>
      </w:r>
      <w:r>
        <w:rPr>
          <w:b/>
          <w:sz w:val="28"/>
          <w:szCs w:val="28"/>
        </w:rPr>
        <w:br/>
        <w:t xml:space="preserve">объектов культурного наследия</w:t>
      </w:r>
      <w:r/>
    </w:p>
    <w:p>
      <w:pPr>
        <w:pStyle w:val="499"/>
        <w:ind w:left="0" w:right="-2" w:firstLine="0"/>
        <w:jc w:val="center"/>
        <w:tabs>
          <w:tab w:val="left" w:pos="0" w:leader="none"/>
          <w:tab w:val="left" w:pos="1134" w:leader="none"/>
          <w:tab w:val="left" w:pos="212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При осуществлении государственного контроля (надзора) в области охраны объектов культурного наследия применяется система оценки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управления рисками.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Объекты контроля относятся Управлением при осуществлении государственного контроля (надзора) в области охраны объектов культурного наследия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риска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причинения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(ущерба)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охраняемым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ценностям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риска):</w:t>
      </w:r>
      <w:r/>
    </w:p>
    <w:p>
      <w:pPr>
        <w:pStyle w:val="499"/>
        <w:contextualSpacing w:val="true"/>
        <w:ind w:left="0" w:right="-2" w:firstLine="709"/>
        <w:tabs>
          <w:tab w:val="left" w:pos="1560" w:leader="none"/>
        </w:tabs>
      </w:pPr>
      <w:r>
        <w:rPr>
          <w:sz w:val="28"/>
          <w:szCs w:val="28"/>
        </w:rPr>
        <w:t xml:space="preserve">а)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высокий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риск;</w:t>
      </w:r>
      <w:r/>
    </w:p>
    <w:p>
      <w:pPr>
        <w:pStyle w:val="499"/>
        <w:contextualSpacing w:val="true"/>
        <w:ind w:left="0" w:right="-2" w:firstLine="709"/>
        <w:tabs>
          <w:tab w:val="left" w:pos="1560" w:leader="none"/>
        </w:tabs>
      </w:pPr>
      <w:r>
        <w:rPr>
          <w:sz w:val="28"/>
          <w:szCs w:val="28"/>
        </w:rPr>
        <w:t xml:space="preserve">б) значительный риск;</w:t>
      </w:r>
      <w:r>
        <w:rPr>
          <w:spacing w:val="1"/>
          <w:sz w:val="28"/>
          <w:szCs w:val="28"/>
        </w:rPr>
        <w:t xml:space="preserve"> </w:t>
      </w:r>
      <w:r/>
    </w:p>
    <w:p>
      <w:pPr>
        <w:pStyle w:val="499"/>
        <w:contextualSpacing w:val="true"/>
        <w:ind w:left="0" w:right="-2" w:firstLine="709"/>
        <w:tabs>
          <w:tab w:val="left" w:pos="1560" w:leader="none"/>
        </w:tabs>
      </w:pPr>
      <w:r>
        <w:rPr>
          <w:sz w:val="28"/>
          <w:szCs w:val="28"/>
        </w:rPr>
        <w:t xml:space="preserve">в)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 xml:space="preserve">низкий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 xml:space="preserve">риск.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Отнесение объектов контроля к категориям риска осуществляется начальником Управления либо лицом, исполняющим его обязанности, по месту </w:t>
      </w:r>
      <w:r>
        <w:rPr>
          <w:sz w:val="28"/>
          <w:szCs w:val="28"/>
        </w:rPr>
        <w:t xml:space="preserve">нахождения контролируемых лиц в соответствии с критериями отнесения объектов государственного контроля (надзора) к категориям риска согласно приложению к настоящему Положению.</w:t>
      </w:r>
      <w:r/>
    </w:p>
    <w:p>
      <w:pPr>
        <w:pStyle w:val="499"/>
        <w:contextualSpacing w:val="true"/>
        <w:ind w:left="0" w:right="-2" w:firstLine="709"/>
        <w:tabs>
          <w:tab w:val="left" w:pos="1560" w:leader="none"/>
        </w:tabs>
      </w:pPr>
      <w:r>
        <w:rPr>
          <w:sz w:val="28"/>
          <w:szCs w:val="28"/>
        </w:rPr>
        <w:t xml:space="preserve">Отнесение объектов контроля к определенной категории риска осуществляется на основании сопоставления их характеристик с критериями</w:t>
      </w:r>
      <w:r>
        <w:rPr>
          <w:sz w:val="28"/>
          <w:szCs w:val="28"/>
        </w:rPr>
        <w:t xml:space="preserve"> отнесения объектов контроля к категориям риска, предусмотренных приложением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 настоящему Положению.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В целях оценки риска причинения вреда (ущерба) при принятии решения и выборе вида внепланового контрольного (над</w:t>
      </w:r>
      <w:r>
        <w:rPr>
          <w:sz w:val="28"/>
          <w:szCs w:val="28"/>
        </w:rPr>
        <w:t xml:space="preserve">зорного) мероприятия Управление</w:t>
      </w:r>
      <w:r>
        <w:rPr>
          <w:sz w:val="28"/>
          <w:szCs w:val="28"/>
        </w:rPr>
        <w:t xml:space="preserve"> использует следующие индикаторы риска нарушения обязательных требований: </w:t>
      </w:r>
      <w:r/>
    </w:p>
    <w:p>
      <w:pPr>
        <w:pStyle w:val="499"/>
        <w:numPr>
          <w:ilvl w:val="0"/>
          <w:numId w:val="6"/>
        </w:numPr>
        <w:ind w:left="0" w:right="-2" w:firstLine="1134"/>
        <w:tabs>
          <w:tab w:val="left" w:pos="850" w:leader="none"/>
          <w:tab w:val="left" w:pos="1560" w:leader="none"/>
        </w:tabs>
      </w:pPr>
      <w:r>
        <w:rPr>
          <w:sz w:val="28"/>
          <w:szCs w:val="28"/>
        </w:rPr>
        <w:t xml:space="preserve">наличие информации о проведении работ, подготовке к проведению работ на объекте культурного наследия, выявленном объекте культурного наследия в отсутствие проектной и (или) разрешительной документации, </w:t>
      </w:r>
      <w:r>
        <w:rPr>
          <w:sz w:val="28"/>
          <w:szCs w:val="28"/>
        </w:rPr>
        <w:t xml:space="preserve">выданной Управлением; </w:t>
      </w:r>
      <w:r/>
    </w:p>
    <w:p>
      <w:pPr>
        <w:pStyle w:val="499"/>
        <w:numPr>
          <w:ilvl w:val="0"/>
          <w:numId w:val="6"/>
        </w:numPr>
        <w:ind w:left="0" w:right="-2" w:firstLine="1134"/>
        <w:tabs>
          <w:tab w:val="left" w:pos="850" w:leader="none"/>
          <w:tab w:val="left" w:pos="1560" w:leader="none"/>
        </w:tabs>
      </w:pPr>
      <w:r>
        <w:rPr>
          <w:sz w:val="28"/>
          <w:szCs w:val="28"/>
        </w:rPr>
        <w:t xml:space="preserve">наличие информации о нарушении требований к содержанию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использованию объекта культурного наследия;</w:t>
      </w:r>
      <w:r/>
    </w:p>
    <w:p>
      <w:pPr>
        <w:pStyle w:val="499"/>
        <w:numPr>
          <w:ilvl w:val="0"/>
          <w:numId w:val="6"/>
        </w:numPr>
        <w:ind w:left="0" w:right="-2" w:firstLine="1134"/>
        <w:tabs>
          <w:tab w:val="left" w:pos="850" w:leader="none"/>
          <w:tab w:val="left" w:pos="1560" w:leader="none"/>
        </w:tabs>
      </w:pPr>
      <w:r>
        <w:rPr>
          <w:sz w:val="28"/>
          <w:szCs w:val="28"/>
        </w:rPr>
        <w:t xml:space="preserve">наличие информации о нарушении требований к обеспечению доступа к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объекту культурного наследия;</w:t>
      </w:r>
      <w:r/>
    </w:p>
    <w:p>
      <w:pPr>
        <w:pStyle w:val="499"/>
        <w:numPr>
          <w:ilvl w:val="0"/>
          <w:numId w:val="6"/>
        </w:numPr>
        <w:ind w:left="0" w:right="-2" w:firstLine="1134"/>
        <w:tabs>
          <w:tab w:val="left" w:pos="850" w:leader="none"/>
          <w:tab w:val="left" w:pos="1560" w:leader="none"/>
        </w:tabs>
      </w:pPr>
      <w:r>
        <w:rPr>
          <w:sz w:val="28"/>
          <w:szCs w:val="28"/>
        </w:rPr>
        <w:t xml:space="preserve">наличие информации о нарушении требований к проведению работ по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сохранению объекта культурного наследия, в том числе о соответствии работ согласованной проектной документации и разрешению на их проведение; </w:t>
      </w:r>
      <w:r/>
    </w:p>
    <w:p>
      <w:pPr>
        <w:pStyle w:val="499"/>
        <w:numPr>
          <w:ilvl w:val="0"/>
          <w:numId w:val="6"/>
        </w:numPr>
        <w:ind w:left="0" w:right="-2" w:firstLine="1134"/>
        <w:tabs>
          <w:tab w:val="left" w:pos="850" w:leader="none"/>
          <w:tab w:val="left" w:pos="1560" w:leader="none"/>
        </w:tabs>
      </w:pPr>
      <w:r>
        <w:rPr>
          <w:sz w:val="28"/>
          <w:szCs w:val="28"/>
        </w:rPr>
        <w:t xml:space="preserve">наличие информации о нарушении требований к осуществлению деятельности в границах территории объекта культурного наследия, в границах территорий зон охраны объекта культу</w:t>
      </w:r>
      <w:r>
        <w:rPr>
          <w:sz w:val="28"/>
          <w:szCs w:val="28"/>
        </w:rPr>
        <w:t xml:space="preserve">рного наследия, защитной зоны объекта культурного наследия, в границах территории достопримечательного места, особого режима использования земельного участка, водного объекта или его части, в границах которых располагается объект археологического наследия;</w:t>
      </w:r>
      <w:r/>
    </w:p>
    <w:p>
      <w:pPr>
        <w:pStyle w:val="499"/>
        <w:numPr>
          <w:ilvl w:val="0"/>
          <w:numId w:val="6"/>
        </w:numPr>
        <w:ind w:left="0" w:right="-2" w:firstLine="1134"/>
        <w:tabs>
          <w:tab w:val="left" w:pos="850" w:leader="none"/>
          <w:tab w:val="left" w:pos="1560" w:leader="none"/>
        </w:tabs>
      </w:pPr>
      <w:r>
        <w:rPr>
          <w:sz w:val="28"/>
          <w:szCs w:val="28"/>
        </w:rPr>
        <w:t xml:space="preserve">наличие информации о нарушении требований к обеспечению доступности для инвалидов объекта культурного наследия, являющегося объектом социальной, инженерной и транспортной инфраструктур и предоставляющими услуги; </w:t>
      </w:r>
      <w:r/>
    </w:p>
    <w:p>
      <w:pPr>
        <w:pStyle w:val="499"/>
        <w:numPr>
          <w:ilvl w:val="0"/>
          <w:numId w:val="6"/>
        </w:numPr>
        <w:ind w:left="0" w:right="-2" w:firstLine="1134"/>
        <w:tabs>
          <w:tab w:val="left" w:pos="850" w:leader="none"/>
          <w:tab w:val="left" w:pos="1560" w:leader="none"/>
        </w:tabs>
      </w:pPr>
      <w:r>
        <w:rPr>
          <w:sz w:val="28"/>
          <w:szCs w:val="28"/>
        </w:rPr>
        <w:t xml:space="preserve">наличие информации о неисполнении мер по обеспечению сохранности объекта культурного наследия; </w:t>
      </w:r>
      <w:r/>
    </w:p>
    <w:p>
      <w:pPr>
        <w:pStyle w:val="499"/>
        <w:numPr>
          <w:ilvl w:val="0"/>
          <w:numId w:val="6"/>
        </w:numPr>
        <w:ind w:left="0" w:right="-2" w:firstLine="1134"/>
        <w:tabs>
          <w:tab w:val="left" w:pos="850" w:leader="none"/>
          <w:tab w:val="left" w:pos="1560" w:leader="none"/>
        </w:tabs>
      </w:pPr>
      <w:r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 xml:space="preserve">информации о проведении, подготовке к проведению строительных и иных работ на земельном участке, непосредственно связанном с земельным участком в границах территории объекта культурного наследия, при отсутствии в проектной документации разделов об обеспече</w:t>
      </w:r>
      <w:r>
        <w:rPr>
          <w:sz w:val="28"/>
          <w:szCs w:val="28"/>
        </w:rPr>
        <w:t xml:space="preserve">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</w:t>
      </w:r>
      <w:r>
        <w:rPr>
          <w:sz w:val="28"/>
          <w:szCs w:val="28"/>
        </w:rPr>
        <w:t xml:space="preserve">, включающих оценку воздействия проводимых работ на указанный объект культурного наследия, согласованных с Управлением. 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Выявление индикаторов риска нарушения обязательных требований осуществляется Управлением без взаимодействия с контролируемыми лицами. 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При выявлении индикаторов риска нарушения обязательных требований Управле</w:t>
      </w:r>
      <w:r>
        <w:rPr>
          <w:sz w:val="28"/>
          <w:szCs w:val="28"/>
        </w:rPr>
        <w:t xml:space="preserve">нием используются сведения,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при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реализации своих полномочий в рамках разрешительной деятельности,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государственных органов, органов местного самоуправления и организаций в рамках межведомственного информационного взаимодействия, из обращений контролируемых лиц, иных</w:t>
      </w:r>
      <w:r>
        <w:rPr>
          <w:sz w:val="28"/>
          <w:szCs w:val="28"/>
        </w:rPr>
        <w:t xml:space="preserve">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r>
        <w:rPr>
          <w:sz w:val="28"/>
          <w:szCs w:val="28"/>
        </w:rPr>
        <w:t xml:space="preserve">прослеживаемость</w:t>
      </w:r>
      <w:r>
        <w:rPr>
          <w:sz w:val="28"/>
          <w:szCs w:val="28"/>
        </w:rPr>
        <w:t xml:space="preserve">, уч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т, автоматическую фиксацию информации, и иные сведения об объектах контроля, в том числе из открытых источников данных. </w:t>
      </w:r>
      <w:r/>
    </w:p>
    <w:p>
      <w:pPr>
        <w:ind w:left="709" w:right="-2" w:firstLine="0"/>
        <w:tabs>
          <w:tab w:val="left" w:pos="1276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99"/>
        <w:ind w:left="0" w:right="-2" w:firstLine="0"/>
        <w:jc w:val="center"/>
        <w:tabs>
          <w:tab w:val="left" w:pos="0" w:leader="none"/>
          <w:tab w:val="left" w:pos="1134" w:leader="none"/>
          <w:tab w:val="left" w:pos="212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Профилактика рисков причинения вреда (ущерба)</w:t>
      </w:r>
      <w:r/>
    </w:p>
    <w:p>
      <w:pPr>
        <w:pStyle w:val="499"/>
        <w:ind w:left="0" w:right="-2" w:firstLine="0"/>
        <w:jc w:val="center"/>
        <w:tabs>
          <w:tab w:val="left" w:pos="0" w:leader="none"/>
          <w:tab w:val="left" w:pos="1134" w:leader="none"/>
          <w:tab w:val="left" w:pos="212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охраняемым законом ценностям</w:t>
      </w:r>
      <w:r/>
    </w:p>
    <w:p>
      <w:pPr>
        <w:pStyle w:val="499"/>
        <w:ind w:left="0" w:right="-2" w:firstLine="0"/>
        <w:jc w:val="center"/>
        <w:tabs>
          <w:tab w:val="left" w:pos="0" w:leader="none"/>
          <w:tab w:val="left" w:pos="1134" w:leader="none"/>
          <w:tab w:val="left" w:pos="212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Управление ежегодно</w:t>
      </w:r>
      <w:r>
        <w:rPr>
          <w:sz w:val="28"/>
          <w:szCs w:val="28"/>
        </w:rPr>
        <w:t xml:space="preserve"> утверждает программу профилактики рисков причинения вреда (ущерба) охраняемым законом ценностям (далее – программа профилактики) в области охраны объектов культурного наследия, которая подлежит размещению на официальном сайте Управления в сети «Интернет».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С целью предотвращения нарушения контролируемыми лицами обязательных требований контрольные органы проводят следующие профилактические мероприятия:</w:t>
      </w:r>
      <w:r/>
    </w:p>
    <w:p>
      <w:pPr>
        <w:pStyle w:val="499"/>
        <w:contextualSpacing w:val="true"/>
        <w:ind w:left="0" w:right="-2" w:firstLine="709"/>
        <w:tabs>
          <w:tab w:val="left" w:pos="1560" w:leader="none"/>
        </w:tabs>
      </w:pPr>
      <w:r>
        <w:rPr>
          <w:sz w:val="28"/>
          <w:szCs w:val="28"/>
        </w:rPr>
        <w:t xml:space="preserve">а) информирование;</w:t>
      </w:r>
      <w:r/>
    </w:p>
    <w:p>
      <w:pPr>
        <w:pStyle w:val="499"/>
        <w:contextualSpacing w:val="true"/>
        <w:ind w:left="0" w:right="-2" w:firstLine="709"/>
        <w:tabs>
          <w:tab w:val="left" w:pos="1560" w:leader="none"/>
        </w:tabs>
      </w:pPr>
      <w:r>
        <w:rPr>
          <w:sz w:val="28"/>
          <w:szCs w:val="28"/>
        </w:rPr>
        <w:t xml:space="preserve">б) обобщение правоприменительной практики; </w:t>
      </w:r>
      <w:r/>
    </w:p>
    <w:p>
      <w:pPr>
        <w:pStyle w:val="499"/>
        <w:contextualSpacing w:val="true"/>
        <w:ind w:left="0" w:right="-2" w:firstLine="709"/>
        <w:tabs>
          <w:tab w:val="left" w:pos="1560" w:leader="none"/>
        </w:tabs>
      </w:pPr>
      <w:r>
        <w:rPr>
          <w:sz w:val="28"/>
          <w:szCs w:val="28"/>
        </w:rPr>
        <w:t xml:space="preserve">в) объявление предостережения;</w:t>
      </w:r>
      <w:r/>
    </w:p>
    <w:p>
      <w:pPr>
        <w:pStyle w:val="499"/>
        <w:contextualSpacing w:val="true"/>
        <w:ind w:left="0" w:right="-2" w:firstLine="709"/>
        <w:tabs>
          <w:tab w:val="left" w:pos="1560" w:leader="none"/>
        </w:tabs>
      </w:pPr>
      <w:r>
        <w:rPr>
          <w:sz w:val="28"/>
          <w:szCs w:val="28"/>
        </w:rPr>
        <w:t xml:space="preserve">г) консультирование;</w:t>
      </w:r>
      <w:r/>
    </w:p>
    <w:p>
      <w:pPr>
        <w:pStyle w:val="499"/>
        <w:contextualSpacing w:val="true"/>
        <w:ind w:left="0" w:right="-2" w:firstLine="709"/>
        <w:tabs>
          <w:tab w:val="left" w:pos="1560" w:leader="none"/>
        </w:tabs>
        <w:rPr>
          <w:sz w:val="28"/>
        </w:rPr>
      </w:pPr>
      <w:r>
        <w:rPr>
          <w:sz w:val="28"/>
          <w:szCs w:val="28"/>
        </w:rPr>
        <w:t xml:space="preserve">д) профилактический визит.</w:t>
      </w:r>
      <w:r/>
    </w:p>
    <w:p>
      <w:pPr>
        <w:pStyle w:val="499"/>
        <w:contextualSpacing w:val="true"/>
        <w:ind w:left="0" w:right="-2" w:firstLine="709"/>
        <w:tabs>
          <w:tab w:val="left" w:pos="1560" w:leader="none"/>
        </w:tabs>
      </w:pPr>
      <w:r/>
      <w:r/>
    </w:p>
    <w:p>
      <w:pPr>
        <w:pStyle w:val="499"/>
        <w:numPr>
          <w:ilvl w:val="0"/>
          <w:numId w:val="2"/>
        </w:numPr>
        <w:ind w:left="0" w:right="-2" w:firstLine="709"/>
        <w:jc w:val="center"/>
        <w:tabs>
          <w:tab w:val="left" w:pos="1276" w:leader="none"/>
        </w:tabs>
        <w:rPr>
          <w:sz w:val="28"/>
        </w:rPr>
      </w:pPr>
      <w:r>
        <w:rPr>
          <w:sz w:val="28"/>
          <w:szCs w:val="28"/>
        </w:rPr>
        <w:t xml:space="preserve">Информирование</w:t>
      </w:r>
      <w:r/>
    </w:p>
    <w:p>
      <w:pPr>
        <w:pStyle w:val="499"/>
        <w:ind w:left="709" w:right="-2" w:firstLine="0"/>
        <w:jc w:val="center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Информирование конт</w:t>
      </w:r>
      <w:r>
        <w:rPr>
          <w:sz w:val="28"/>
          <w:szCs w:val="28"/>
        </w:rPr>
        <w:t xml:space="preserve">ролируемых лиц по вопросам соблюдения обязательных требований осуществляется посредством размещения соответствующих сведений на официальном сайте Управления в сети «Интернет» и в средствах массовой информации, в том числе следующей информации и документов:</w:t>
      </w:r>
      <w:r/>
    </w:p>
    <w:p>
      <w:pPr>
        <w:pStyle w:val="499"/>
        <w:numPr>
          <w:ilvl w:val="0"/>
          <w:numId w:val="16"/>
        </w:numPr>
        <w:contextualSpacing w:val="true"/>
        <w:ind w:left="0" w:right="-2" w:firstLine="851"/>
        <w:tabs>
          <w:tab w:val="left" w:pos="992" w:leader="none"/>
          <w:tab w:val="left" w:pos="1560" w:leader="none"/>
        </w:tabs>
      </w:pPr>
      <w:r>
        <w:rPr>
          <w:sz w:val="28"/>
          <w:szCs w:val="28"/>
        </w:rPr>
        <w:t xml:space="preserve">тексты нормативных правовых актов, регулирующих осуществление государственного контроля (надзора) в области охраны объектов культурного наследия;</w:t>
      </w:r>
      <w:r/>
    </w:p>
    <w:p>
      <w:pPr>
        <w:pStyle w:val="499"/>
        <w:numPr>
          <w:ilvl w:val="0"/>
          <w:numId w:val="16"/>
        </w:numPr>
        <w:contextualSpacing w:val="true"/>
        <w:ind w:left="0" w:right="-2" w:firstLine="851"/>
        <w:tabs>
          <w:tab w:val="left" w:pos="992" w:leader="none"/>
          <w:tab w:val="left" w:pos="1560" w:leader="none"/>
        </w:tabs>
      </w:pPr>
      <w:r>
        <w:rPr>
          <w:sz w:val="28"/>
          <w:szCs w:val="28"/>
        </w:rPr>
        <w:t xml:space="preserve">сведения об изменениях, внесенных в нормативные правовые акты, регулирующие осуществление государственного контроля (надзора) в области охраны объектов культурного наследия, о сроках и порядке их вступления в силу;</w:t>
      </w:r>
      <w:r/>
    </w:p>
    <w:p>
      <w:pPr>
        <w:pStyle w:val="499"/>
        <w:numPr>
          <w:ilvl w:val="0"/>
          <w:numId w:val="16"/>
        </w:numPr>
        <w:contextualSpacing w:val="true"/>
        <w:ind w:left="0" w:right="-2" w:firstLine="851"/>
        <w:tabs>
          <w:tab w:val="left" w:pos="992" w:leader="none"/>
          <w:tab w:val="left" w:pos="1560" w:leader="none"/>
        </w:tabs>
      </w:pPr>
      <w:r>
        <w:rPr>
          <w:sz w:val="28"/>
          <w:szCs w:val="28"/>
        </w:rPr>
        <w:t xml:space="preserve">перечень н</w:t>
      </w:r>
      <w:r>
        <w:rPr>
          <w:sz w:val="28"/>
          <w:szCs w:val="28"/>
        </w:rPr>
        <w:t xml:space="preserve">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приведением текстов указанных актов в действующей редакции;</w:t>
      </w:r>
      <w:r/>
    </w:p>
    <w:p>
      <w:pPr>
        <w:pStyle w:val="499"/>
        <w:numPr>
          <w:ilvl w:val="0"/>
          <w:numId w:val="16"/>
        </w:numPr>
        <w:contextualSpacing w:val="true"/>
        <w:ind w:left="0" w:right="-2" w:firstLine="851"/>
        <w:tabs>
          <w:tab w:val="left" w:pos="992" w:leader="none"/>
          <w:tab w:val="left" w:pos="1560" w:leader="none"/>
        </w:tabs>
      </w:pPr>
      <w:r>
        <w:rPr>
          <w:sz w:val="28"/>
          <w:szCs w:val="28"/>
        </w:rPr>
        <w:t xml:space="preserve">руководства по соблюдению обязательных требований, разработанные и утвержденные в соответствии с Федеральным законом от 31 июля 2020 года № 247-ФЗ «Об обязательных требованиях в Российской Федерации»;</w:t>
      </w:r>
      <w:r/>
    </w:p>
    <w:p>
      <w:pPr>
        <w:pStyle w:val="499"/>
        <w:numPr>
          <w:ilvl w:val="0"/>
          <w:numId w:val="16"/>
        </w:numPr>
        <w:contextualSpacing w:val="true"/>
        <w:ind w:left="0" w:right="-2" w:firstLine="851"/>
        <w:tabs>
          <w:tab w:val="left" w:pos="992" w:leader="none"/>
          <w:tab w:val="left" w:pos="1560" w:leader="none"/>
        </w:tabs>
      </w:pPr>
      <w:r>
        <w:rPr>
          <w:sz w:val="28"/>
          <w:szCs w:val="28"/>
        </w:rPr>
        <w:t xml:space="preserve">перечень индикаторов риска нарушения обязательных требований, порядок отнесения объектов контроля к категориям риска;</w:t>
      </w:r>
      <w:r/>
    </w:p>
    <w:p>
      <w:pPr>
        <w:pStyle w:val="499"/>
        <w:numPr>
          <w:ilvl w:val="0"/>
          <w:numId w:val="16"/>
        </w:numPr>
        <w:contextualSpacing w:val="true"/>
        <w:ind w:left="0" w:right="-2" w:firstLine="851"/>
        <w:tabs>
          <w:tab w:val="left" w:pos="992" w:leader="none"/>
          <w:tab w:val="left" w:pos="1560" w:leader="none"/>
        </w:tabs>
      </w:pPr>
      <w:r>
        <w:rPr>
          <w:sz w:val="28"/>
          <w:szCs w:val="28"/>
        </w:rPr>
        <w:t xml:space="preserve"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  <w:r/>
    </w:p>
    <w:p>
      <w:pPr>
        <w:pStyle w:val="499"/>
        <w:numPr>
          <w:ilvl w:val="0"/>
          <w:numId w:val="16"/>
        </w:numPr>
        <w:contextualSpacing w:val="true"/>
        <w:ind w:left="0" w:right="-2" w:firstLine="851"/>
        <w:tabs>
          <w:tab w:val="left" w:pos="992" w:leader="none"/>
          <w:tab w:val="left" w:pos="1560" w:leader="none"/>
        </w:tabs>
      </w:pPr>
      <w:r>
        <w:rPr>
          <w:sz w:val="28"/>
          <w:szCs w:val="28"/>
        </w:rPr>
        <w:t xml:space="preserve">программа профилактики рисков причинения вреда и план проведения </w:t>
      </w:r>
      <w:r>
        <w:rPr>
          <w:sz w:val="28"/>
          <w:szCs w:val="28"/>
        </w:rPr>
        <w:t xml:space="preserve">плановых контрольных (надзорных) мероприятий;</w:t>
      </w:r>
      <w:r/>
    </w:p>
    <w:p>
      <w:pPr>
        <w:pStyle w:val="499"/>
        <w:numPr>
          <w:ilvl w:val="0"/>
          <w:numId w:val="16"/>
        </w:numPr>
        <w:contextualSpacing w:val="true"/>
        <w:ind w:left="0" w:right="-2" w:firstLine="851"/>
        <w:tabs>
          <w:tab w:val="left" w:pos="992" w:leader="none"/>
          <w:tab w:val="left" w:pos="1560" w:leader="none"/>
        </w:tabs>
      </w:pPr>
      <w:r>
        <w:rPr>
          <w:sz w:val="28"/>
          <w:szCs w:val="28"/>
        </w:rPr>
        <w:t xml:space="preserve">исчерпывающий перечень сведений, которые могут запрашиваться Управлением у контролируемого лица;</w:t>
      </w:r>
      <w:r/>
    </w:p>
    <w:p>
      <w:pPr>
        <w:pStyle w:val="499"/>
        <w:numPr>
          <w:ilvl w:val="0"/>
          <w:numId w:val="16"/>
        </w:numPr>
        <w:contextualSpacing w:val="true"/>
        <w:ind w:left="0" w:right="-2" w:firstLine="851"/>
        <w:tabs>
          <w:tab w:val="left" w:pos="992" w:leader="none"/>
          <w:tab w:val="left" w:pos="1560" w:leader="none"/>
        </w:tabs>
      </w:pPr>
      <w:r>
        <w:rPr>
          <w:sz w:val="28"/>
          <w:szCs w:val="28"/>
        </w:rPr>
        <w:t xml:space="preserve">сведения о способах получения консультаций по вопросам соблюдения обязательных требований;</w:t>
      </w:r>
      <w:r/>
    </w:p>
    <w:p>
      <w:pPr>
        <w:pStyle w:val="499"/>
        <w:numPr>
          <w:ilvl w:val="0"/>
          <w:numId w:val="16"/>
        </w:numPr>
        <w:contextualSpacing w:val="true"/>
        <w:ind w:left="0" w:right="-2" w:firstLine="851"/>
        <w:tabs>
          <w:tab w:val="left" w:pos="992" w:leader="none"/>
          <w:tab w:val="left" w:pos="1560" w:leader="none"/>
        </w:tabs>
      </w:pPr>
      <w:r>
        <w:rPr>
          <w:sz w:val="28"/>
          <w:szCs w:val="28"/>
        </w:rPr>
        <w:t xml:space="preserve">сведения о порядке досудебного обжалования решений Управления, действий (бездействия) должностных лиц Управления;</w:t>
      </w:r>
      <w:r/>
    </w:p>
    <w:p>
      <w:pPr>
        <w:pStyle w:val="499"/>
        <w:numPr>
          <w:ilvl w:val="0"/>
          <w:numId w:val="16"/>
        </w:numPr>
        <w:contextualSpacing w:val="true"/>
        <w:ind w:left="0" w:right="-2" w:firstLine="851"/>
        <w:tabs>
          <w:tab w:val="left" w:pos="992" w:leader="none"/>
          <w:tab w:val="left" w:pos="1560" w:leader="none"/>
        </w:tabs>
      </w:pPr>
      <w:r>
        <w:rPr>
          <w:sz w:val="28"/>
          <w:szCs w:val="28"/>
        </w:rPr>
        <w:t xml:space="preserve">доклады, содержащие результаты обобщения правоприменительной практики Управления;</w:t>
      </w:r>
      <w:r/>
    </w:p>
    <w:p>
      <w:pPr>
        <w:pStyle w:val="499"/>
        <w:numPr>
          <w:ilvl w:val="0"/>
          <w:numId w:val="16"/>
        </w:numPr>
        <w:contextualSpacing w:val="true"/>
        <w:ind w:left="0" w:right="-2" w:firstLine="851"/>
        <w:tabs>
          <w:tab w:val="left" w:pos="992" w:leader="none"/>
          <w:tab w:val="left" w:pos="1560" w:leader="none"/>
        </w:tabs>
      </w:pPr>
      <w:r>
        <w:rPr>
          <w:sz w:val="28"/>
          <w:szCs w:val="28"/>
        </w:rPr>
        <w:t xml:space="preserve">доклады о государственном контроле (надзоре) области охраны объектов культурного наследия;</w:t>
      </w:r>
      <w:r/>
    </w:p>
    <w:p>
      <w:pPr>
        <w:pStyle w:val="499"/>
        <w:numPr>
          <w:ilvl w:val="0"/>
          <w:numId w:val="16"/>
        </w:numPr>
        <w:contextualSpacing w:val="true"/>
        <w:ind w:left="0" w:right="-2" w:firstLine="851"/>
        <w:tabs>
          <w:tab w:val="left" w:pos="992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иные сведения, предусмотренные нормативными правовыми актами Российской Федерации и (или) программой профилактики рисков причинения вреда (ущерба) охраняемым законом ценностям.</w:t>
      </w:r>
      <w:r/>
    </w:p>
    <w:p>
      <w:pPr>
        <w:contextualSpacing w:val="true"/>
        <w:ind w:right="-2" w:firstLine="709"/>
        <w:jc w:val="both"/>
        <w:tabs>
          <w:tab w:val="left" w:pos="992" w:leader="none"/>
          <w:tab w:val="left" w:pos="1560" w:leader="none"/>
        </w:tabs>
      </w:pPr>
      <w:r/>
      <w:r/>
    </w:p>
    <w:p>
      <w:pPr>
        <w:pStyle w:val="499"/>
        <w:numPr>
          <w:ilvl w:val="0"/>
          <w:numId w:val="2"/>
        </w:numPr>
        <w:ind w:left="0" w:right="-2" w:firstLine="709"/>
        <w:jc w:val="center"/>
        <w:tabs>
          <w:tab w:val="left" w:pos="1276" w:leader="none"/>
        </w:tabs>
        <w:rPr>
          <w:sz w:val="28"/>
        </w:rPr>
      </w:pPr>
      <w:r>
        <w:rPr>
          <w:sz w:val="28"/>
          <w:szCs w:val="28"/>
        </w:rPr>
        <w:t xml:space="preserve">Обобщение правоприменительной практики</w:t>
      </w:r>
      <w:r/>
    </w:p>
    <w:p>
      <w:pPr>
        <w:pStyle w:val="499"/>
        <w:ind w:left="709" w:right="-2" w:firstLine="0"/>
        <w:tabs>
          <w:tab w:val="left" w:pos="1276" w:leader="none"/>
        </w:tabs>
        <w:rPr>
          <w:sz w:val="28"/>
        </w:rPr>
      </w:pPr>
      <w:r>
        <w:rPr>
          <w:sz w:val="28"/>
        </w:rPr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Обобщение правоприменительной практики организации </w:t>
      </w:r>
      <w:r>
        <w:rPr>
          <w:sz w:val="28"/>
          <w:szCs w:val="28"/>
        </w:rPr>
        <w:br/>
        <w:t xml:space="preserve">и проведения государственного контроля (надзора) в области охраны объектов культурного наследия осуществляется Управлением один раз в год.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По итогам обобщения правоприменительной практики Управл</w:t>
      </w:r>
      <w:r>
        <w:rPr>
          <w:sz w:val="28"/>
          <w:szCs w:val="28"/>
        </w:rPr>
        <w:t xml:space="preserve">ение обеспечивает подготовку доклада о результатах правоприменительной практики при осуществлении государственного контроля (надзора) в области охраны объектов культурного наследия (далее – доклад о правоприменительной практике) и его публичное обсуждение.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Доклад о правоприменительной практике утверждается приказом начальника Управления и размещается на официальном сайте Управления в сети «Интернет» не позднее 1 марта года, следующего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отчетным.</w:t>
      </w:r>
      <w:r/>
    </w:p>
    <w:p>
      <w:pPr>
        <w:pStyle w:val="499"/>
        <w:ind w:left="1417" w:right="-2" w:firstLine="0"/>
        <w:tabs>
          <w:tab w:val="left" w:pos="1276" w:leader="none"/>
        </w:tabs>
        <w:rPr>
          <w:sz w:val="28"/>
        </w:rPr>
      </w:pPr>
      <w:r>
        <w:rPr>
          <w:sz w:val="28"/>
        </w:rPr>
      </w:r>
      <w:r/>
    </w:p>
    <w:p>
      <w:pPr>
        <w:pStyle w:val="499"/>
        <w:numPr>
          <w:ilvl w:val="0"/>
          <w:numId w:val="2"/>
        </w:numPr>
        <w:ind w:left="0" w:right="-2"/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Предостережение</w:t>
      </w:r>
      <w:r/>
    </w:p>
    <w:p>
      <w:pPr>
        <w:pStyle w:val="499"/>
        <w:ind w:left="709" w:right="-2" w:firstLine="0"/>
        <w:jc w:val="center"/>
        <w:tabs>
          <w:tab w:val="left" w:pos="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0" w:leader="none"/>
          <w:tab w:val="left" w:pos="1134" w:leader="none"/>
        </w:tabs>
      </w:pPr>
      <w:r>
        <w:rPr>
          <w:sz w:val="28"/>
          <w:szCs w:val="28"/>
        </w:rPr>
        <w:t xml:space="preserve">При нали</w:t>
      </w:r>
      <w:r>
        <w:rPr>
          <w:sz w:val="28"/>
          <w:szCs w:val="28"/>
        </w:rPr>
        <w:t xml:space="preserve">чии у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</w:t>
      </w:r>
      <w:r>
        <w:rPr>
          <w:sz w:val="28"/>
          <w:szCs w:val="28"/>
        </w:rPr>
        <w:t xml:space="preserve">ном ценностям либо создало угрозу причинения вреда (ущерба) охраняемым законом ценностям, Управление объявляет контролируемому лицу предостережение о недопустимости нарушения обязательных требований (далее – предостережение), предлагает ему принять меры по</w:t>
      </w:r>
      <w:r>
        <w:rPr>
          <w:sz w:val="28"/>
          <w:szCs w:val="28"/>
        </w:rPr>
        <w:t xml:space="preserve"> обеспечению соблюдения обязательных требований.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Контролируемое лицо вправе в течение 15 (пятнадцати) рабочих дней со дня получения предостережения подать в Управление возражение на предостережение (далее – возражение).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0" w:leader="none"/>
          <w:tab w:val="left" w:pos="1134" w:leader="none"/>
        </w:tabs>
      </w:pPr>
      <w:r>
        <w:rPr>
          <w:sz w:val="28"/>
          <w:szCs w:val="28"/>
        </w:rPr>
        <w:t xml:space="preserve">В возражении указываются:</w:t>
      </w:r>
      <w:r/>
    </w:p>
    <w:p>
      <w:pPr>
        <w:pStyle w:val="499"/>
        <w:numPr>
          <w:ilvl w:val="0"/>
          <w:numId w:val="8"/>
        </w:numPr>
        <w:contextualSpacing w:val="true"/>
        <w:ind w:left="0" w:right="-2" w:firstLine="709"/>
        <w:tabs>
          <w:tab w:val="left" w:pos="0" w:leader="none"/>
          <w:tab w:val="left" w:pos="992" w:leader="none"/>
          <w:tab w:val="left" w:pos="1134" w:leader="none"/>
        </w:tabs>
      </w:pPr>
      <w:r>
        <w:rPr>
          <w:sz w:val="28"/>
          <w:szCs w:val="28"/>
        </w:rPr>
        <w:t xml:space="preserve">наименование юридического лица, либо фамилия, имя, отчество (при </w:t>
      </w:r>
      <w:r>
        <w:rPr>
          <w:sz w:val="28"/>
          <w:szCs w:val="28"/>
        </w:rPr>
        <w:t xml:space="preserve">наличии) индивидуального предпринимателя или физического лица;</w:t>
      </w:r>
      <w:r/>
    </w:p>
    <w:p>
      <w:pPr>
        <w:pStyle w:val="499"/>
        <w:numPr>
          <w:ilvl w:val="0"/>
          <w:numId w:val="8"/>
        </w:numPr>
        <w:contextualSpacing w:val="true"/>
        <w:ind w:left="0" w:right="-2" w:firstLine="709"/>
        <w:tabs>
          <w:tab w:val="left" w:pos="0" w:leader="none"/>
          <w:tab w:val="left" w:pos="992" w:leader="none"/>
          <w:tab w:val="left" w:pos="1134" w:leader="none"/>
        </w:tabs>
      </w:pPr>
      <w:r>
        <w:rPr>
          <w:sz w:val="28"/>
          <w:szCs w:val="28"/>
        </w:rPr>
        <w:t xml:space="preserve">дата вынесения предостережения и его номер;</w:t>
      </w:r>
      <w:r/>
    </w:p>
    <w:p>
      <w:pPr>
        <w:pStyle w:val="499"/>
        <w:numPr>
          <w:ilvl w:val="0"/>
          <w:numId w:val="8"/>
        </w:numPr>
        <w:contextualSpacing w:val="true"/>
        <w:ind w:left="0" w:right="-2" w:firstLine="709"/>
        <w:tabs>
          <w:tab w:val="left" w:pos="0" w:leader="none"/>
          <w:tab w:val="left" w:pos="992" w:leader="none"/>
          <w:tab w:val="left" w:pos="1134" w:leader="none"/>
        </w:tabs>
      </w:pPr>
      <w:r>
        <w:rPr>
          <w:sz w:val="28"/>
          <w:szCs w:val="28"/>
        </w:rPr>
        <w:t xml:space="preserve"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  <w:r/>
    </w:p>
    <w:p>
      <w:pPr>
        <w:pStyle w:val="499"/>
        <w:contextualSpacing w:val="true"/>
        <w:ind w:left="0" w:right="-2" w:firstLine="709"/>
        <w:tabs>
          <w:tab w:val="left" w:pos="0" w:leader="none"/>
          <w:tab w:val="left" w:pos="992" w:leader="none"/>
          <w:tab w:val="left" w:pos="1134" w:leader="none"/>
        </w:tabs>
      </w:pPr>
      <w:r>
        <w:rPr>
          <w:sz w:val="28"/>
          <w:szCs w:val="28"/>
        </w:rPr>
        <w:t xml:space="preserve">При этом контролируемое лицо вправе приложить к возражению документы, подтверждающие обоснованность возражения, или их заверенные </w:t>
      </w:r>
      <w:r>
        <w:rPr>
          <w:sz w:val="28"/>
          <w:szCs w:val="28"/>
        </w:rPr>
        <w:t xml:space="preserve">копии.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Возражение направляется контролируемым лицом в бумажном виде почтовым отправлением либо в электронном виде с использованием единого портала или регионального портала.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Возражение, содержащее сведения и документы, составляющие государственную или иную охраняемую законом тайну, подается контролируемым лицом в Управление без использования единого портала с уч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том требований законодательства Российской Федерации о государственной и иной охраняемой законом тайне.</w:t>
      </w:r>
      <w:r/>
    </w:p>
    <w:p>
      <w:pPr>
        <w:pStyle w:val="499"/>
        <w:contextualSpacing w:val="true"/>
        <w:ind w:left="0" w:right="-2" w:firstLine="709"/>
        <w:tabs>
          <w:tab w:val="left" w:pos="0" w:leader="none"/>
          <w:tab w:val="left" w:pos="1134" w:leader="none"/>
        </w:tabs>
      </w:pPr>
      <w:r>
        <w:rPr>
          <w:sz w:val="28"/>
          <w:szCs w:val="28"/>
        </w:rPr>
        <w:t xml:space="preserve">Возражение рассматривается должностным</w:t>
      </w:r>
      <w:r>
        <w:rPr>
          <w:sz w:val="28"/>
          <w:szCs w:val="28"/>
        </w:rPr>
        <w:t xml:space="preserve"> лицом Управления, назначенным начальником Управления либо лицом, исполняющим его обязанности, в течение 20 (двадцати) рабочих дней со дня регистрации возражения.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0" w:leader="none"/>
          <w:tab w:val="left" w:pos="1134" w:leader="none"/>
        </w:tabs>
      </w:pPr>
      <w:r>
        <w:rPr>
          <w:sz w:val="28"/>
          <w:szCs w:val="28"/>
        </w:rPr>
        <w:t xml:space="preserve">По результатам рассмотрения возражения должностное лицо Управления принимает одно из следующих решений:</w:t>
      </w:r>
      <w:r/>
    </w:p>
    <w:p>
      <w:pPr>
        <w:pStyle w:val="499"/>
        <w:contextualSpacing w:val="true"/>
        <w:ind w:left="0" w:right="-2" w:firstLine="709"/>
        <w:tabs>
          <w:tab w:val="left" w:pos="0" w:leader="none"/>
          <w:tab w:val="left" w:pos="992" w:leader="none"/>
        </w:tabs>
      </w:pPr>
      <w:r>
        <w:rPr>
          <w:sz w:val="28"/>
          <w:szCs w:val="28"/>
        </w:rPr>
        <w:t xml:space="preserve">а) удовлетворяет возражение в форме отмены объявленного предостережения;</w:t>
      </w:r>
      <w:r/>
    </w:p>
    <w:p>
      <w:pPr>
        <w:pStyle w:val="499"/>
        <w:contextualSpacing w:val="true"/>
        <w:ind w:left="0" w:right="-2" w:firstLine="709"/>
        <w:tabs>
          <w:tab w:val="left" w:pos="0" w:leader="none"/>
          <w:tab w:val="left" w:pos="992" w:leader="none"/>
        </w:tabs>
      </w:pPr>
      <w:r>
        <w:rPr>
          <w:sz w:val="28"/>
          <w:szCs w:val="28"/>
        </w:rPr>
        <w:t xml:space="preserve">б) отказывает в удовлетворении возражения.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позднее дня, следующего за днем принятия решения, указанного в пункте 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настоящего Положения, контролируемому лицу, подавшему возражение, в письменной форме и по его желанию в электронной форме направляется мотивированный ответ о результатах рассмотрения возражения.</w:t>
      </w:r>
      <w:r/>
    </w:p>
    <w:p>
      <w:pPr>
        <w:pStyle w:val="499"/>
        <w:ind w:left="709" w:right="-2" w:firstLine="0"/>
        <w:tabs>
          <w:tab w:val="left" w:pos="0" w:leader="none"/>
          <w:tab w:val="left" w:pos="1134" w:leader="none"/>
        </w:tabs>
      </w:pPr>
      <w:r/>
      <w:r/>
    </w:p>
    <w:p>
      <w:pPr>
        <w:pStyle w:val="499"/>
        <w:numPr>
          <w:ilvl w:val="0"/>
          <w:numId w:val="2"/>
        </w:numPr>
        <w:ind w:left="0" w:right="-2"/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</w:t>
      </w:r>
      <w:r/>
    </w:p>
    <w:p>
      <w:pPr>
        <w:pStyle w:val="499"/>
        <w:ind w:right="-2" w:firstLine="709"/>
        <w:tabs>
          <w:tab w:val="left" w:pos="1560" w:leader="none"/>
        </w:tabs>
        <w:rPr>
          <w:sz w:val="28"/>
        </w:rPr>
      </w:pPr>
      <w:r>
        <w:rPr>
          <w:sz w:val="28"/>
        </w:rPr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 Консультирование контролируемых лиц и их представителей осуществляется должностным лицом Управления посредством видео-конференц-связи, на личном приеме либо в ходе проведения</w:t>
      </w:r>
      <w:r>
        <w:rPr>
          <w:sz w:val="28"/>
          <w:szCs w:val="28"/>
        </w:rPr>
        <w:t xml:space="preserve"> профилактического визита, а также посредством размещения на официальном сайте Управления в сети «Интернет» письменного разъяснения, подписанного уполномоченным должностным лицом Управления, по однотипным обращениям контролируемых лиц и их представителей. </w:t>
      </w:r>
      <w:r/>
    </w:p>
    <w:p>
      <w:pPr>
        <w:pStyle w:val="499"/>
        <w:ind w:left="0" w:right="-2" w:firstLine="709"/>
        <w:tabs>
          <w:tab w:val="left" w:pos="1560" w:leader="none"/>
        </w:tabs>
      </w:pPr>
      <w:r>
        <w:rPr>
          <w:sz w:val="28"/>
          <w:szCs w:val="28"/>
        </w:rPr>
        <w:t xml:space="preserve">Консультирование в порядке, установленном настоящим Положением, осуществляется при условии, что контролируемому лицу ранее не предоставлялась информ</w:t>
      </w:r>
      <w:r>
        <w:rPr>
          <w:sz w:val="28"/>
          <w:szCs w:val="28"/>
        </w:rPr>
        <w:t xml:space="preserve">ация по итогам консультирования и не направлялись ответы на обращения по вопросам, содержащимся в обращении, а также в отношении обратившегося контролируемого лица на момент консультирования не проводятся контрольные (надзорные) либо иные профилактические </w:t>
      </w:r>
      <w:r>
        <w:rPr>
          <w:sz w:val="28"/>
          <w:szCs w:val="28"/>
        </w:rPr>
        <w:t xml:space="preserve">мероприятия. 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В обращении о консультировании указываются: </w:t>
      </w:r>
      <w:r/>
    </w:p>
    <w:p>
      <w:pPr>
        <w:pStyle w:val="499"/>
        <w:numPr>
          <w:ilvl w:val="0"/>
          <w:numId w:val="17"/>
        </w:numPr>
        <w:ind w:left="0" w:right="-2" w:firstLine="993"/>
        <w:tabs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наименование организации, фамилия, имя, отчество (при наличии) гражданина – собственника или иного законного владельца объекта контроля; лица, являющегося заказчиком или подрядчиком по договору на выполнение работ по сохранению объекта контроля; </w:t>
      </w:r>
      <w:r/>
    </w:p>
    <w:p>
      <w:pPr>
        <w:pStyle w:val="499"/>
        <w:numPr>
          <w:ilvl w:val="0"/>
          <w:numId w:val="17"/>
        </w:numPr>
        <w:ind w:left="0" w:right="-2" w:firstLine="993"/>
        <w:tabs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адрес объекта контроля; </w:t>
      </w:r>
      <w:r/>
    </w:p>
    <w:p>
      <w:pPr>
        <w:pStyle w:val="499"/>
        <w:numPr>
          <w:ilvl w:val="0"/>
          <w:numId w:val="17"/>
        </w:numPr>
        <w:ind w:left="0" w:right="-2" w:firstLine="993"/>
        <w:tabs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вопрос, по которому требуется консультация; </w:t>
      </w:r>
      <w:r/>
    </w:p>
    <w:p>
      <w:pPr>
        <w:pStyle w:val="499"/>
        <w:numPr>
          <w:ilvl w:val="0"/>
          <w:numId w:val="17"/>
        </w:numPr>
        <w:ind w:left="0" w:right="-2" w:firstLine="993"/>
        <w:tabs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адрес электронной почты контролируемого лица или его представителя для направления уведомления о дате и времени консультации. 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 Консультирование посредством видео-конференц-связи либо на личном приеме осуществляется по предварительной записи по обращениям контролируемых лиц и их представителей, направленных в адрес Управления. 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5 (пяти) рабочих дней с момента поступления обращения контролируемого лица или его представителя должностное лицо Управления направляет уведомление о дате и времени консультации, способе (формате), месте ее проведения или информации,</w:t>
      </w:r>
      <w:r>
        <w:rPr>
          <w:sz w:val="28"/>
          <w:szCs w:val="28"/>
        </w:rPr>
        <w:t xml:space="preserve"> необходимой для подключения к видео-конференц-связи, либо о размещении на официальном сайте Управления письменного разъяснения, подписанного уполномоченным должностным лицом Управления, по вопросу, аналогичному указанному в обращении на консультирование. 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Консультация осуществляется не позднее 20 (двадцати) рабочих дней с момента поступления соответствующего обращения. 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Должностные лица Управления предоставляют консультирование по следующим вопросам: </w:t>
      </w:r>
      <w:r/>
    </w:p>
    <w:p>
      <w:pPr>
        <w:pStyle w:val="499"/>
        <w:numPr>
          <w:ilvl w:val="0"/>
          <w:numId w:val="19"/>
        </w:numPr>
        <w:ind w:left="0" w:right="-2" w:firstLine="993"/>
        <w:tabs>
          <w:tab w:val="left" w:pos="1134" w:leader="none"/>
        </w:tabs>
      </w:pPr>
      <w:r>
        <w:rPr>
          <w:sz w:val="28"/>
          <w:szCs w:val="28"/>
        </w:rPr>
        <w:t xml:space="preserve">о порядке исполнения обязательных требований;</w:t>
      </w:r>
      <w:r/>
    </w:p>
    <w:p>
      <w:pPr>
        <w:pStyle w:val="499"/>
        <w:numPr>
          <w:ilvl w:val="0"/>
          <w:numId w:val="19"/>
        </w:numPr>
        <w:ind w:left="0" w:right="-2" w:firstLine="993"/>
        <w:tabs>
          <w:tab w:val="left" w:pos="1134" w:leader="none"/>
        </w:tabs>
      </w:pPr>
      <w:r>
        <w:rPr>
          <w:sz w:val="28"/>
          <w:szCs w:val="28"/>
        </w:rPr>
        <w:t xml:space="preserve">о порядке исполнения выданного Управлением предписания, объявленного Управлением предостережения;</w:t>
      </w:r>
      <w:r/>
    </w:p>
    <w:p>
      <w:pPr>
        <w:pStyle w:val="499"/>
        <w:numPr>
          <w:ilvl w:val="0"/>
          <w:numId w:val="19"/>
        </w:numPr>
        <w:ind w:left="0" w:right="-2" w:firstLine="993"/>
        <w:tabs>
          <w:tab w:val="left" w:pos="1134" w:leader="none"/>
        </w:tabs>
      </w:pPr>
      <w:r>
        <w:rPr>
          <w:sz w:val="28"/>
          <w:szCs w:val="28"/>
        </w:rPr>
        <w:t xml:space="preserve">по вопросам, связанным с орга</w:t>
      </w:r>
      <w:r>
        <w:rPr>
          <w:sz w:val="28"/>
          <w:szCs w:val="28"/>
        </w:rPr>
        <w:t xml:space="preserve">низацией и осуществлением государственного контроля (надзора) в области охраны объектов культурного наследия в отношении объекта контроля, собственником или иным законным владельцем которого является контролируемое лицо, обратившееся за консультированием. 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Консультирование по поросу, указанному в подпункте 2 пункта 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.6 настоящего Положения осуществляется в письменном виде.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Управление осуществляет учёт консультирований, который проводится посредством внесения соответствующей записи в журнал консультирования.  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Консультирование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однотипным обращениям контролируемых лиц и их представителей осуществляется посредством сообщения указанным лицам ссылки о размещении на официальном сайте Управления в сети «Интернет», письменного разъяснения, подписанного уполномоченным должностным лицом.</w:t>
      </w:r>
      <w:r/>
    </w:p>
    <w:p>
      <w:pPr>
        <w:ind w:right="-2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499"/>
        <w:numPr>
          <w:ilvl w:val="0"/>
          <w:numId w:val="2"/>
        </w:numPr>
        <w:ind w:left="0" w:right="-2"/>
        <w:jc w:val="center"/>
        <w:tabs>
          <w:tab w:val="left" w:pos="0" w:leader="none"/>
        </w:tabs>
        <w:rPr>
          <w:sz w:val="28"/>
        </w:rPr>
      </w:pPr>
      <w:r>
        <w:rPr>
          <w:sz w:val="28"/>
          <w:szCs w:val="28"/>
        </w:rPr>
        <w:t xml:space="preserve">Профилактический визит</w:t>
      </w:r>
      <w:r/>
    </w:p>
    <w:p>
      <w:pPr>
        <w:pStyle w:val="499"/>
        <w:ind w:left="0" w:right="-2" w:firstLine="0"/>
        <w:jc w:val="center"/>
        <w:tabs>
          <w:tab w:val="left" w:pos="0" w:leader="none"/>
        </w:tabs>
        <w:rPr>
          <w:sz w:val="28"/>
        </w:rPr>
      </w:pPr>
      <w:r>
        <w:rPr>
          <w:sz w:val="28"/>
        </w:rPr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Профилактический визит проводится должностным лицом Управления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объектам контроля, их соответствии критериям риска, об основаниях снижения категории риска и о рекомендуемых способах снижения категории риска,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При проведении профилактического визита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</w:t>
      </w:r>
      <w:r>
        <w:rPr>
          <w:sz w:val="28"/>
          <w:szCs w:val="28"/>
        </w:rPr>
        <w:t xml:space="preserve">а) охраняемым законом ценностям или такой вред (ущерб) причинен, должностное лицо Управления незамедлительно направляет информацию об этом начальнику (заместителю начальника) Управления для принятия решения о проведении контрольных (надзорных) мероприятий.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Управление </w:t>
      </w:r>
      <w:r>
        <w:rPr>
          <w:sz w:val="28"/>
          <w:szCs w:val="28"/>
        </w:rPr>
        <w:t xml:space="preserve">проводит обязательный профилактический визит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отношении лиц, приступающих к осуществлению контролируемого вида деятельности, в течение одного года с момента начала такой деятельности,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а в отношении объектов контроля, отнесенных к категории высокого риска, -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сроки, установленные программой профилактики.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О проведении обязательного профилактического визита контролируемое лицо должно быть уведомлено не </w:t>
      </w:r>
      <w:r>
        <w:rPr>
          <w:sz w:val="28"/>
          <w:szCs w:val="28"/>
        </w:rPr>
        <w:t xml:space="preserve">позднее</w:t>
      </w:r>
      <w:r>
        <w:rPr>
          <w:sz w:val="28"/>
          <w:szCs w:val="28"/>
        </w:rPr>
        <w:t xml:space="preserve"> чем за 5 рабочих дней до дня его проведения.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r>
        <w:rPr>
          <w:sz w:val="28"/>
          <w:szCs w:val="28"/>
        </w:rPr>
        <w:t xml:space="preserve">позднее</w:t>
      </w:r>
      <w:r>
        <w:rPr>
          <w:sz w:val="28"/>
          <w:szCs w:val="28"/>
        </w:rPr>
        <w:t xml:space="preserve"> чем за 3 рабочих дня до дня его проведения.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Профилактический визит проводится в рабочее время, в период, устанавливаемый уведомлением о проведении обязательного профилактического визита, и не может превышать 8 часов.</w:t>
      </w:r>
      <w:r/>
    </w:p>
    <w:p>
      <w:pPr>
        <w:pStyle w:val="499"/>
        <w:ind w:left="709" w:right="-2" w:firstLine="0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99"/>
        <w:ind w:left="0" w:right="-2" w:firstLine="0"/>
        <w:jc w:val="center"/>
        <w:tabs>
          <w:tab w:val="left" w:pos="14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Осуществление государственного контроля (надзора)</w:t>
      </w:r>
      <w:r/>
    </w:p>
    <w:p>
      <w:pPr>
        <w:pStyle w:val="499"/>
        <w:ind w:left="0" w:right="-2" w:firstLine="0"/>
        <w:jc w:val="center"/>
        <w:tabs>
          <w:tab w:val="left" w:pos="142" w:leader="none"/>
        </w:tabs>
        <w:rPr>
          <w:sz w:val="28"/>
        </w:rPr>
      </w:pPr>
      <w:r>
        <w:rPr>
          <w:sz w:val="28"/>
        </w:rPr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государственного контроля (надзора) в области охраны объектов культурного наследия плановые контрольные (надзорные) мероприятия не проводятся.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Контрольные (надзорные) мероприятия проводятся, в том числе,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основании программы проверок. 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К проведению контрольных (надзорных) мероприятий могут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необходимости привлекаться специалисты, эксперты, экспертные организации в порядке, установленном Федеральным законом № 248-ФЗ.</w:t>
      </w:r>
      <w:r/>
    </w:p>
    <w:p>
      <w:pPr>
        <w:pStyle w:val="499"/>
        <w:ind w:left="709" w:right="-2" w:firstLine="0"/>
        <w:tabs>
          <w:tab w:val="left" w:pos="1276" w:leader="none"/>
        </w:tabs>
        <w:rPr>
          <w:sz w:val="28"/>
        </w:rPr>
      </w:pPr>
      <w:r>
        <w:rPr>
          <w:sz w:val="28"/>
        </w:rPr>
      </w:r>
      <w:r/>
    </w:p>
    <w:p>
      <w:pPr>
        <w:pStyle w:val="499"/>
        <w:numPr>
          <w:ilvl w:val="0"/>
          <w:numId w:val="2"/>
        </w:numPr>
        <w:ind w:left="0" w:right="-2" w:firstLine="709"/>
        <w:jc w:val="center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программы проверок</w:t>
      </w:r>
      <w:r/>
    </w:p>
    <w:p>
      <w:pPr>
        <w:ind w:right="-2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проверок фор</w:t>
      </w:r>
      <w:r>
        <w:rPr>
          <w:sz w:val="28"/>
          <w:szCs w:val="28"/>
        </w:rPr>
        <w:t xml:space="preserve">мируется контрольным органом на </w:t>
      </w:r>
      <w:r>
        <w:rPr>
          <w:sz w:val="28"/>
          <w:szCs w:val="28"/>
        </w:rPr>
        <w:t xml:space="preserve">основании:</w:t>
      </w:r>
      <w:r/>
    </w:p>
    <w:p>
      <w:pPr>
        <w:pStyle w:val="499"/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разрешения на проведение работ по сохранени</w:t>
      </w:r>
      <w:r>
        <w:rPr>
          <w:sz w:val="28"/>
          <w:szCs w:val="28"/>
        </w:rPr>
        <w:t xml:space="preserve">ю объекта культурного наследия </w:t>
      </w:r>
      <w:r>
        <w:rPr>
          <w:sz w:val="28"/>
          <w:szCs w:val="28"/>
        </w:rPr>
        <w:t xml:space="preserve">(далее – разрешение)</w:t>
      </w:r>
      <w:r>
        <w:rPr>
          <w:sz w:val="28"/>
          <w:szCs w:val="28"/>
        </w:rPr>
        <w:t xml:space="preserve">;</w:t>
      </w:r>
      <w:r/>
    </w:p>
    <w:p>
      <w:pPr>
        <w:pStyle w:val="499"/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истечения срока (завершения периода) проведения работ по сохранению объекта культурного наследия, установленного охранным обязательством собственника или иного законного владельца объекта культурного наследия (далее – охранное обязательство).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одного из указанных оснований </w:t>
      </w:r>
      <w:r>
        <w:rPr>
          <w:sz w:val="28"/>
          <w:szCs w:val="28"/>
        </w:rPr>
        <w:t xml:space="preserve">должностное лицо Управления </w:t>
      </w:r>
      <w:r>
        <w:rPr>
          <w:sz w:val="28"/>
          <w:szCs w:val="28"/>
        </w:rPr>
        <w:t xml:space="preserve">в течение 3 рабочих дней готовит программу проверки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представляет ее на утверждение </w:t>
      </w:r>
      <w:r>
        <w:rPr>
          <w:sz w:val="28"/>
          <w:szCs w:val="28"/>
        </w:rPr>
        <w:t xml:space="preserve">начальнику (заместителю начальника) Управления</w:t>
      </w:r>
      <w:r>
        <w:rPr>
          <w:sz w:val="28"/>
          <w:szCs w:val="28"/>
        </w:rPr>
        <w:t xml:space="preserve"> в установленном порядке.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проверок должна содержать следующие сведения:</w:t>
      </w:r>
      <w:r/>
    </w:p>
    <w:p>
      <w:pPr>
        <w:ind w:right="-2" w:firstLine="709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а) наименование объекта культурного наследия в соответствии с учетной записью в</w:t>
      </w:r>
      <w:r>
        <w:rPr>
          <w:sz w:val="28"/>
          <w:szCs w:val="28"/>
        </w:rPr>
        <w:t xml:space="preserve"> едином государственном</w:t>
      </w:r>
      <w:r>
        <w:rPr>
          <w:sz w:val="28"/>
          <w:szCs w:val="28"/>
        </w:rPr>
        <w:t xml:space="preserve"> реестре</w:t>
      </w:r>
      <w:r>
        <w:rPr>
          <w:sz w:val="28"/>
          <w:szCs w:val="28"/>
        </w:rPr>
        <w:t xml:space="preserve"> объектов культурного наследия (памятников истории и культуры) народов Российской Федерации (далее – реестр)</w:t>
      </w:r>
      <w:r>
        <w:rPr>
          <w:sz w:val="28"/>
          <w:szCs w:val="28"/>
        </w:rPr>
        <w:t xml:space="preserve">, регистрационный номер объекта культурного наследия в реестре;</w:t>
      </w:r>
      <w:r/>
    </w:p>
    <w:p>
      <w:pPr>
        <w:ind w:right="-2" w:firstLine="709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б) сведения о месте нахождения объекта культурного наследия (адрес объекта или при его отсутствии - описание местоположения объекта), сведения о виде объекта;</w:t>
      </w:r>
      <w:r/>
    </w:p>
    <w:p>
      <w:pPr>
        <w:ind w:right="-2" w:firstLine="709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в) сведения о правообладателе (правообладател</w:t>
      </w:r>
      <w:r>
        <w:rPr>
          <w:sz w:val="28"/>
          <w:szCs w:val="28"/>
        </w:rPr>
        <w:t xml:space="preserve">ях) объекта культурного наследия</w:t>
      </w:r>
      <w:r>
        <w:rPr>
          <w:sz w:val="28"/>
          <w:szCs w:val="28"/>
        </w:rPr>
        <w:t xml:space="preserve">;</w:t>
      </w:r>
      <w:r/>
    </w:p>
    <w:p>
      <w:pPr>
        <w:ind w:right="-2" w:firstLine="709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г) сведения о юридических лицах</w:t>
      </w:r>
      <w:r>
        <w:rPr>
          <w:sz w:val="28"/>
          <w:szCs w:val="28"/>
        </w:rPr>
        <w:t xml:space="preserve">, индивидуальных предпринимателях, физических лицах, осуществляющих работы по сохранению объекта культурного наследия, включая осуществление авторского и технического надзора, а также научное руководство работами по сохранению объекта культурного наследия.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сведениям, указанным в подпунктах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26.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настоящего Положения, относятся:</w:t>
      </w:r>
      <w:r/>
    </w:p>
    <w:p>
      <w:pPr>
        <w:ind w:right="-2" w:firstLine="709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полное наименование юридического лица, фамилия, имя, отчество (при наличии) индивидуального предпринимателя или физического лица;</w:t>
      </w:r>
      <w:r/>
    </w:p>
    <w:p>
      <w:pPr>
        <w:ind w:right="-2" w:firstLine="709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государственный регистрационный номер юридического лица или индивидуального предпринимателя;</w:t>
      </w:r>
      <w:r/>
    </w:p>
    <w:p>
      <w:pPr>
        <w:ind w:right="-2" w:firstLine="709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адрес места нахождения и осуществления деятельности юридического лица, индивидуального предпринимателя, адрес места жительства физического лица (для правообладателей объекта культурного наследия федерального значения).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на объекте культурного наследия работ по его </w:t>
      </w:r>
      <w:r>
        <w:rPr>
          <w:sz w:val="28"/>
          <w:szCs w:val="28"/>
        </w:rPr>
        <w:t xml:space="preserve">сохранению несколькими лицами составляется единая программа проверок, включающая в себя сведения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всех таких лицах.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В случае если в отношении объекта культурного наследия ранее </w:t>
      </w:r>
      <w:r>
        <w:rPr>
          <w:sz w:val="28"/>
          <w:szCs w:val="28"/>
        </w:rPr>
        <w:t xml:space="preserve">Управлением</w:t>
      </w:r>
      <w:r>
        <w:rPr>
          <w:sz w:val="28"/>
          <w:szCs w:val="28"/>
        </w:rPr>
        <w:t xml:space="preserve"> уже утверждалась программа проверок и выдано разрешение на проведение работ по сохранению указанного объекта лицу, ранее в программе проверки не указанному, в программу проверки вносится соответствующее изменение в части указания сведений об этом лице.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дополнение к сведениям, указанным в пункте </w:t>
      </w:r>
      <w:r>
        <w:rPr>
          <w:sz w:val="28"/>
          <w:szCs w:val="28"/>
        </w:rPr>
        <w:t xml:space="preserve">26.5</w:t>
      </w:r>
      <w:r>
        <w:rPr>
          <w:sz w:val="28"/>
          <w:szCs w:val="28"/>
        </w:rPr>
        <w:t xml:space="preserve"> настоящего Положения, в программе проверок указываются:</w:t>
      </w:r>
      <w:r/>
    </w:p>
    <w:p>
      <w:pPr>
        <w:pStyle w:val="499"/>
        <w:ind w:left="709" w:right="-2" w:firstLine="0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а) периодичность проведения контрольных (надзорных) мероприятий;</w:t>
      </w:r>
      <w:r/>
    </w:p>
    <w:p>
      <w:pPr>
        <w:pStyle w:val="499"/>
        <w:ind w:left="709" w:right="-2" w:firstLine="0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б) вид контрольных (надзорных) мероприятий;</w:t>
      </w:r>
      <w:r/>
    </w:p>
    <w:p>
      <w:pPr>
        <w:pStyle w:val="499"/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должностное лицо (должностные лица), </w:t>
      </w:r>
      <w:r>
        <w:rPr>
          <w:sz w:val="28"/>
          <w:szCs w:val="28"/>
        </w:rPr>
        <w:t xml:space="preserve">уполномоченные на проведение проверок, </w:t>
      </w:r>
      <w:r>
        <w:rPr>
          <w:sz w:val="28"/>
          <w:szCs w:val="28"/>
          <w:highlight w:val="yellow"/>
        </w:rPr>
        <w:t xml:space="preserve">номер и дата выдачи служебн</w:t>
      </w:r>
      <w:r>
        <w:rPr>
          <w:sz w:val="28"/>
          <w:szCs w:val="28"/>
          <w:highlight w:val="yellow"/>
        </w:rPr>
        <w:t xml:space="preserve">ых</w:t>
      </w:r>
      <w:r>
        <w:rPr>
          <w:sz w:val="28"/>
          <w:szCs w:val="28"/>
        </w:rPr>
        <w:t xml:space="preserve"> удостоверени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, сведения о лицах, привлекаемых к проведению проверок.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выданного разрешен</w:t>
      </w:r>
      <w:r>
        <w:rPr>
          <w:sz w:val="28"/>
          <w:szCs w:val="28"/>
        </w:rPr>
        <w:t xml:space="preserve">ия на проведение работ по сохранению объекта культурного наследия осуществляется контрольное (надзорное) мероприятие, предусматривающее взаимодействие с контролируемым лицом (инспекционный визит, рейдовый осмотр, документарная проверка, выездная проверка).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1276" w:leader="none"/>
          <w:tab w:val="left" w:pos="1559" w:leader="none"/>
        </w:tabs>
      </w:pPr>
      <w:r>
        <w:rPr>
          <w:sz w:val="28"/>
          <w:szCs w:val="28"/>
        </w:rPr>
        <w:t xml:space="preserve">Программа проверок на основании разрешения формируется на срок действия разрешения на проведение работ по сохранению объектов культурного наследия. 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1276" w:leader="none"/>
          <w:tab w:val="left" w:pos="1559" w:leader="none"/>
        </w:tabs>
      </w:pPr>
      <w:r>
        <w:rPr>
          <w:sz w:val="28"/>
          <w:szCs w:val="28"/>
        </w:rPr>
        <w:t xml:space="preserve">Программа проверок на основании разрешения формируется с учётом проведения не более 1 контрольного (надзорного) мероприятия в месяц за период проведения работ по сохранению объекта культурного наследия, указанный в разрешении.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1276" w:leader="none"/>
          <w:tab w:val="left" w:pos="1559" w:leader="none"/>
        </w:tabs>
      </w:pPr>
      <w:r>
        <w:rPr>
          <w:sz w:val="28"/>
          <w:szCs w:val="28"/>
        </w:rPr>
        <w:t xml:space="preserve">Количество контрольных (надзорных) мероприятий, указанное в пункте 29.3.3 настоящего Положения, может быть увеличено не более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чем на 1 контрольное (надзорное) мероприятие в месяц в случаях: </w:t>
      </w:r>
      <w:r/>
    </w:p>
    <w:p>
      <w:pPr>
        <w:pStyle w:val="499"/>
        <w:numPr>
          <w:ilvl w:val="0"/>
          <w:numId w:val="9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проведения работ по сохранению объекта культурного наследия, находящегося в неудовлетворительном состоянии;</w:t>
      </w:r>
      <w:r/>
    </w:p>
    <w:p>
      <w:pPr>
        <w:pStyle w:val="499"/>
        <w:numPr>
          <w:ilvl w:val="0"/>
          <w:numId w:val="9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проведения работ, затрагивающих конструктивные и другие характеристики надежности и безопасности данного объекта культурного наследия;</w:t>
      </w:r>
      <w:r/>
    </w:p>
    <w:p>
      <w:pPr>
        <w:pStyle w:val="499"/>
        <w:numPr>
          <w:ilvl w:val="0"/>
          <w:numId w:val="9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проведения работ по реставрации и (или) воссозданию декоративных элементов, производимых в специализированных мастерских (не по месту нахождения объекта контроля);</w:t>
      </w:r>
      <w:r/>
    </w:p>
    <w:p>
      <w:pPr>
        <w:pStyle w:val="499"/>
        <w:numPr>
          <w:ilvl w:val="0"/>
          <w:numId w:val="9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привлечения юридических лиц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 индивидуальных предпринимателей, осуществляющих проведение работ по сохранению объекта культурного наследия, в тече</w:t>
      </w:r>
      <w:r>
        <w:rPr>
          <w:sz w:val="28"/>
          <w:szCs w:val="28"/>
        </w:rPr>
        <w:t xml:space="preserve">ние одного календарного года до момента выдачи разрешения либо в течение срока действия разрешения к административной ответственности за правонарушения в области охраны объектов культурного наследия и (или) неисполнение предписания, выданного Управлением. </w:t>
      </w:r>
      <w:r/>
    </w:p>
    <w:p>
      <w:pPr>
        <w:pStyle w:val="499"/>
        <w:numPr>
          <w:ilvl w:val="0"/>
          <w:numId w:val="9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привлечения организаций и граждан, являющихся заказчиками проведения работ по сохранению объекта культурного наследия, в течение </w:t>
      </w:r>
      <w:r>
        <w:rPr>
          <w:sz w:val="28"/>
          <w:szCs w:val="28"/>
        </w:rPr>
        <w:t xml:space="preserve">одного календарного года до момента выдачи разрешения либо в течение срока действия разрешения к административной ответственности за правонарушения в области охраны объектов культурного наследия и (или) неисполнение предписания, выданного Управлением. 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истечения срока (завершения периода) проведения работ по сохранению объекта культурного наследия, установленного охранным обязательством, может проводиться как контрольное (надзорное) мероприятие, предусматривающее взаимодействие с контрол</w:t>
      </w:r>
      <w:r>
        <w:rPr>
          <w:sz w:val="28"/>
          <w:szCs w:val="28"/>
        </w:rPr>
        <w:t xml:space="preserve">ируемым лицом (инспекционный визит, рейдовый осмотр, документарная проверка, выездная проверка), так и контрольное (надзорное) мероприятие без взаимодействия с контролируемым лицом (наблюдение за соблюдением обязательных требований, выездное обследование).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Разработка программы проверок на основании истечения срока (завершения периода) проведения работ по сохранению объекта культурного наследия, установленного охранным обязательством </w:t>
      </w:r>
      <w:r>
        <w:rPr>
          <w:sz w:val="28"/>
          <w:szCs w:val="28"/>
        </w:rPr>
        <w:t xml:space="preserve">(далее – программа проверок по исполнению плана работ), формируется исходя из истечения сроков проведения работ по сохранению объекта культурного наследия, состав (перечень) видов и сроки (периодичность) (далее – план работ) которых определены Управлением:</w:t>
      </w:r>
      <w:r/>
    </w:p>
    <w:p>
      <w:pPr>
        <w:pStyle w:val="499"/>
        <w:numPr>
          <w:ilvl w:val="0"/>
          <w:numId w:val="20"/>
        </w:numPr>
        <w:ind w:left="0" w:right="-2" w:firstLine="993"/>
        <w:tabs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в приложении 1 к охранным обязательствам, оформленным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приказом Мин</w:t>
      </w:r>
      <w:r>
        <w:rPr>
          <w:sz w:val="28"/>
          <w:szCs w:val="28"/>
        </w:rPr>
        <w:t xml:space="preserve">культуры России от 13 июля 2020 года № 774 «Об утверждении формы охранного обязательства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культуры) народов Российской Федерации, и порядка его подготовки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утверждения»;</w:t>
      </w:r>
      <w:r/>
    </w:p>
    <w:p>
      <w:pPr>
        <w:pStyle w:val="499"/>
        <w:numPr>
          <w:ilvl w:val="0"/>
          <w:numId w:val="20"/>
        </w:numPr>
        <w:ind w:left="0" w:right="-2" w:firstLine="993"/>
        <w:tabs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в охранных обязательствах и актах технического состояния объекта культурного наследия, оформленным в соот</w:t>
      </w:r>
      <w:r>
        <w:rPr>
          <w:sz w:val="28"/>
          <w:szCs w:val="28"/>
        </w:rPr>
        <w:t xml:space="preserve">ветствии с приказом Минкультуры России от 1 июля 2015 года № 1887 «О реализации отдельных положений статьи 47.6 Федерального закона от 25 июня 2002 г. № 73-ФЗ «Об объектах культурного наследия (памятниках истории и культуры) народов Российской Федерации»; </w:t>
      </w:r>
      <w:r/>
    </w:p>
    <w:p>
      <w:pPr>
        <w:pStyle w:val="499"/>
        <w:numPr>
          <w:ilvl w:val="0"/>
          <w:numId w:val="20"/>
        </w:numPr>
        <w:ind w:left="0" w:right="-2" w:firstLine="993"/>
        <w:tabs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в отношении выявленных объектов культурного </w:t>
      </w:r>
      <w:r>
        <w:rPr>
          <w:sz w:val="28"/>
          <w:szCs w:val="28"/>
        </w:rPr>
        <w:t xml:space="preserve">наследия</w:t>
      </w:r>
      <w:r>
        <w:rPr>
          <w:sz w:val="28"/>
          <w:szCs w:val="28"/>
        </w:rPr>
        <w:t xml:space="preserve"> в актах технического состояния выявленных объектах культурного наследия, составленным в порядке, установленном пунктом 2 статьи 47.2 Федерального закона № 73-ФЗ. 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1276" w:leader="none"/>
          <w:tab w:val="left" w:pos="155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Программы проверок по исполнению плана работ формируется на календарный месяц д</w:t>
      </w:r>
      <w:r>
        <w:rPr>
          <w:sz w:val="28"/>
          <w:szCs w:val="28"/>
        </w:rPr>
        <w:t xml:space="preserve">ля каждого объекта контроля, подлежащего проверке в связи с истечением к моменту формирования программы проверок по исполнению плана работ срока (завершения периода) проведения работ по сохранению объекта культурного наследия, установленного планами работ.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Изменения в программу проверок утверждаются распоряжением </w:t>
      </w:r>
      <w:r>
        <w:rPr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. В течение одного рабочего дня после утверждения программы проверок она подлежит размещению на официальном сайте контрольного органа в сети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Копия распоряжения об утверждении программы </w:t>
      </w:r>
      <w:r>
        <w:rPr>
          <w:sz w:val="28"/>
          <w:szCs w:val="28"/>
        </w:rPr>
        <w:t xml:space="preserve">проверок с приложением самой программы, а также распоряжения о внесе</w:t>
      </w:r>
      <w:r>
        <w:rPr>
          <w:sz w:val="28"/>
          <w:szCs w:val="28"/>
        </w:rPr>
        <w:t xml:space="preserve">нии изменений в программу проверок в течение 3 рабочих дней со дня утверждения подлежат направлению контролируемому лицу заказным почтовым отправлением с уведомлением о вручении, либо иным способом, подтверждающим факт и дату получения такого распоряжения.</w:t>
      </w:r>
      <w:r/>
    </w:p>
    <w:p>
      <w:pPr>
        <w:pStyle w:val="499"/>
        <w:ind w:left="0" w:right="-2" w:firstLine="850"/>
        <w:rPr>
          <w:sz w:val="28"/>
        </w:rPr>
      </w:pPr>
      <w:r>
        <w:rPr>
          <w:sz w:val="28"/>
        </w:rPr>
      </w:r>
      <w:r/>
    </w:p>
    <w:p>
      <w:pPr>
        <w:pStyle w:val="499"/>
        <w:numPr>
          <w:ilvl w:val="0"/>
          <w:numId w:val="2"/>
        </w:numPr>
        <w:ind w:left="0" w:right="-2"/>
        <w:jc w:val="center"/>
        <w:tabs>
          <w:tab w:val="left" w:pos="1276" w:leader="none"/>
          <w:tab w:val="left" w:pos="1559" w:leader="none"/>
          <w:tab w:val="left" w:pos="2268" w:leader="none"/>
          <w:tab w:val="left" w:pos="25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Контрольные надзорные мероприятия</w:t>
      </w:r>
      <w:r/>
    </w:p>
    <w:p>
      <w:pPr>
        <w:pStyle w:val="499"/>
        <w:ind w:left="0" w:right="-2" w:firstLine="0"/>
        <w:jc w:val="center"/>
        <w:tabs>
          <w:tab w:val="left" w:pos="1276" w:leader="none"/>
          <w:tab w:val="left" w:pos="1559" w:leader="none"/>
          <w:tab w:val="left" w:pos="2268" w:leader="none"/>
          <w:tab w:val="left" w:pos="255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99"/>
        <w:numPr>
          <w:ilvl w:val="1"/>
          <w:numId w:val="2"/>
        </w:numPr>
        <w:ind w:left="0" w:right="0" w:firstLine="709"/>
        <w:tabs>
          <w:tab w:val="left" w:pos="1276" w:leader="none"/>
          <w:tab w:val="left" w:pos="1559" w:leader="none"/>
          <w:tab w:val="left" w:pos="2268" w:leader="none"/>
          <w:tab w:val="left" w:pos="2551" w:leader="none"/>
        </w:tabs>
      </w:pPr>
      <w:r>
        <w:rPr>
          <w:sz w:val="28"/>
          <w:szCs w:val="28"/>
        </w:rPr>
        <w:t xml:space="preserve"> Региональный государственный контроль (надзор) в области охраны объектов культурного наследия осуществляется:</w:t>
      </w:r>
      <w:r/>
    </w:p>
    <w:p>
      <w:pPr>
        <w:pStyle w:val="499"/>
        <w:numPr>
          <w:ilvl w:val="0"/>
          <w:numId w:val="35"/>
        </w:numPr>
        <w:ind w:left="0" w:right="0" w:firstLine="709"/>
        <w:tabs>
          <w:tab w:val="left" w:pos="992" w:leader="none"/>
          <w:tab w:val="left" w:pos="1134" w:leader="none"/>
        </w:tabs>
      </w:pPr>
      <w:r>
        <w:rPr>
          <w:sz w:val="28"/>
          <w:szCs w:val="28"/>
        </w:rPr>
        <w:t xml:space="preserve">посредством проведения следующих контрольных (надзорных) мероприятий, предусматривающих взаимодействие с контролируемым лицом: </w:t>
      </w:r>
      <w:r/>
    </w:p>
    <w:p>
      <w:pPr>
        <w:pStyle w:val="499"/>
        <w:numPr>
          <w:ilvl w:val="0"/>
          <w:numId w:val="22"/>
        </w:numPr>
        <w:ind w:left="0" w:right="0" w:firstLine="993"/>
        <w:tabs>
          <w:tab w:val="left" w:pos="1134" w:leader="none"/>
        </w:tabs>
      </w:pPr>
      <w:r>
        <w:rPr>
          <w:sz w:val="28"/>
          <w:szCs w:val="28"/>
        </w:rPr>
        <w:t xml:space="preserve">инспекционный визит;</w:t>
      </w:r>
      <w:r/>
    </w:p>
    <w:p>
      <w:pPr>
        <w:pStyle w:val="499"/>
        <w:numPr>
          <w:ilvl w:val="0"/>
          <w:numId w:val="22"/>
        </w:numPr>
        <w:ind w:left="0" w:right="0" w:firstLine="993"/>
        <w:tabs>
          <w:tab w:val="left" w:pos="1134" w:leader="none"/>
        </w:tabs>
      </w:pPr>
      <w:r>
        <w:rPr>
          <w:sz w:val="28"/>
          <w:szCs w:val="28"/>
        </w:rPr>
        <w:t xml:space="preserve">рейдовый осмотр;</w:t>
      </w:r>
      <w:r/>
    </w:p>
    <w:p>
      <w:pPr>
        <w:pStyle w:val="499"/>
        <w:numPr>
          <w:ilvl w:val="0"/>
          <w:numId w:val="22"/>
        </w:numPr>
        <w:ind w:left="0" w:right="0" w:firstLine="993"/>
        <w:tabs>
          <w:tab w:val="left" w:pos="1134" w:leader="none"/>
        </w:tabs>
      </w:pPr>
      <w:r>
        <w:rPr>
          <w:sz w:val="28"/>
          <w:szCs w:val="28"/>
        </w:rPr>
        <w:t xml:space="preserve">документарная проверка;</w:t>
      </w:r>
      <w:r/>
    </w:p>
    <w:p>
      <w:pPr>
        <w:pStyle w:val="499"/>
        <w:numPr>
          <w:ilvl w:val="0"/>
          <w:numId w:val="22"/>
        </w:numPr>
        <w:ind w:left="0" w:right="0" w:firstLine="993"/>
        <w:tabs>
          <w:tab w:val="left" w:pos="1134" w:leader="none"/>
        </w:tabs>
      </w:pPr>
      <w:r>
        <w:rPr>
          <w:sz w:val="28"/>
          <w:szCs w:val="28"/>
        </w:rPr>
        <w:t xml:space="preserve">выездная проверка;</w:t>
      </w:r>
      <w:r/>
    </w:p>
    <w:p>
      <w:pPr>
        <w:pStyle w:val="499"/>
        <w:numPr>
          <w:ilvl w:val="0"/>
          <w:numId w:val="34"/>
        </w:numPr>
        <w:ind w:left="0" w:right="0" w:firstLine="709"/>
        <w:tabs>
          <w:tab w:val="left" w:pos="992" w:leader="none"/>
          <w:tab w:val="left" w:pos="1134" w:leader="none"/>
        </w:tabs>
      </w:pPr>
      <w:r>
        <w:rPr>
          <w:sz w:val="28"/>
          <w:szCs w:val="28"/>
        </w:rPr>
        <w:t xml:space="preserve">посредством проведения следующих контрольных (надзорных) мероприятий без взаимодействия с контролируемым лицом: </w:t>
      </w:r>
      <w:r/>
    </w:p>
    <w:p>
      <w:pPr>
        <w:pStyle w:val="499"/>
        <w:numPr>
          <w:ilvl w:val="0"/>
          <w:numId w:val="13"/>
        </w:numPr>
        <w:ind w:left="0" w:right="0" w:firstLine="993"/>
        <w:tabs>
          <w:tab w:val="left" w:pos="1134" w:leader="none"/>
        </w:tabs>
      </w:pPr>
      <w:r>
        <w:rPr>
          <w:sz w:val="28"/>
          <w:szCs w:val="28"/>
        </w:rPr>
        <w:t xml:space="preserve">наблюдение за соблюдением обязательных требований (мониторинг безопасности);</w:t>
      </w:r>
      <w:r/>
    </w:p>
    <w:p>
      <w:pPr>
        <w:pStyle w:val="499"/>
        <w:numPr>
          <w:ilvl w:val="0"/>
          <w:numId w:val="13"/>
        </w:numPr>
        <w:ind w:left="0" w:right="0" w:firstLine="993"/>
        <w:tabs>
          <w:tab w:val="left" w:pos="1134" w:leader="none"/>
        </w:tabs>
      </w:pPr>
      <w:r>
        <w:rPr>
          <w:sz w:val="28"/>
          <w:szCs w:val="28"/>
        </w:rPr>
        <w:t xml:space="preserve">выездное обследование. 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  <w:tab w:val="left" w:pos="1559" w:leader="none"/>
          <w:tab w:val="left" w:pos="2268" w:leader="none"/>
          <w:tab w:val="left" w:pos="2551" w:leader="none"/>
        </w:tabs>
      </w:pPr>
      <w:r>
        <w:rPr>
          <w:sz w:val="28"/>
          <w:szCs w:val="28"/>
        </w:rPr>
        <w:t xml:space="preserve"> При проведении контрольных (надзорных) мероприятий и совершении контрольных (надзорных) действий, которые в соответствии с требованиями Федерального закона № 248-ФЗ должны проводиться в присутствии контролируемого ли</w:t>
      </w:r>
      <w:r>
        <w:rPr>
          <w:sz w:val="28"/>
          <w:szCs w:val="28"/>
        </w:rPr>
        <w:t xml:space="preserve">ца либо его представителя, присутствие контролируемого лица либо его представителя обязательно, за исключением проведения контрольных (надзорных) мероприятий, совершения контрольных (надзорных) действий, не требующих взаимодействия с контролируемым лицом. </w:t>
      </w:r>
      <w:r>
        <w:rPr>
          <w:sz w:val="28"/>
          <w:szCs w:val="28"/>
        </w:rPr>
        <w:t xml:space="preserve">В случаях отсутствия контролируемого лица либо его пре</w:t>
      </w:r>
      <w:r>
        <w:rPr>
          <w:sz w:val="28"/>
          <w:szCs w:val="28"/>
        </w:rPr>
        <w:t xml:space="preserve">дставителя, предоставления контролируемым лицом информации Управлению о невозможности присутствия при проведении контрольного (надзорного) мероприятия контрольные (надзорные) мероприятия проводятся, контрольные (надзорные) действия совершаются, если оценка</w:t>
      </w:r>
      <w:r>
        <w:rPr>
          <w:sz w:val="28"/>
          <w:szCs w:val="28"/>
        </w:rPr>
        <w:t xml:space="preserve"> соблюдения обязательных требований при проведении контрольного (надзорного)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(надзорного) мероприятия.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  <w:tab w:val="left" w:pos="1559" w:leader="none"/>
          <w:tab w:val="left" w:pos="2268" w:leader="none"/>
          <w:tab w:val="left" w:pos="2551" w:leader="none"/>
        </w:tabs>
      </w:pPr>
      <w:r>
        <w:rPr>
          <w:sz w:val="28"/>
          <w:szCs w:val="28"/>
        </w:rPr>
        <w:t xml:space="preserve"> Индивидуальный предприниматель, гражданин, являющиеся контролируемыми лицами, вправе представить в Управление заявление о невозможности присутствия при проведении контрольного (надзорного) мероприятия в следующих случаях:</w:t>
      </w:r>
      <w:r/>
    </w:p>
    <w:p>
      <w:pPr>
        <w:pStyle w:val="499"/>
        <w:contextualSpacing w:val="true"/>
        <w:ind w:left="0" w:right="-2" w:firstLine="709"/>
        <w:tabs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смерть близкого родственника;</w:t>
      </w:r>
      <w:r/>
    </w:p>
    <w:p>
      <w:pPr>
        <w:pStyle w:val="499"/>
        <w:contextualSpacing w:val="true"/>
        <w:ind w:left="0" w:right="-2" w:firstLine="709"/>
        <w:tabs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б)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олезнь или необходимость присмотра за близким родственником;</w:t>
      </w:r>
      <w:r/>
    </w:p>
    <w:p>
      <w:pPr>
        <w:pStyle w:val="499"/>
        <w:contextualSpacing w:val="true"/>
        <w:ind w:left="0" w:right="-2" w:firstLine="709"/>
        <w:tabs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в)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пребывание под следствием или судом;</w:t>
      </w:r>
      <w:r/>
    </w:p>
    <w:p>
      <w:pPr>
        <w:pStyle w:val="499"/>
        <w:contextualSpacing w:val="true"/>
        <w:ind w:left="0" w:right="-2" w:firstLine="709"/>
        <w:tabs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г)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к гражданину административного или уголовного </w:t>
      </w:r>
      <w:r>
        <w:rPr>
          <w:sz w:val="28"/>
          <w:szCs w:val="28"/>
        </w:rPr>
        <w:t xml:space="preserve">наказания, которое делает невозможной его явку;</w:t>
      </w:r>
      <w:r/>
    </w:p>
    <w:p>
      <w:pPr>
        <w:pStyle w:val="499"/>
        <w:contextualSpacing w:val="true"/>
        <w:ind w:left="0" w:right="-2" w:firstLine="709"/>
        <w:tabs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д)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пребывание в командировке, отпуске, на учебе;</w:t>
      </w:r>
      <w:r/>
    </w:p>
    <w:p>
      <w:pPr>
        <w:pStyle w:val="499"/>
        <w:contextualSpacing w:val="true"/>
        <w:ind w:left="0" w:right="-2" w:firstLine="709"/>
        <w:tabs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наступление обстоятельств непреодолимой силы.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  <w:tab w:val="left" w:pos="1559" w:leader="none"/>
          <w:tab w:val="left" w:pos="2268" w:leader="none"/>
          <w:tab w:val="left" w:pos="2551" w:leader="none"/>
        </w:tabs>
        <w:rPr>
          <w:highlight w:val="white"/>
        </w:rPr>
      </w:pPr>
      <w:r>
        <w:rPr>
          <w:sz w:val="28"/>
          <w:szCs w:val="28"/>
        </w:rPr>
        <w:t xml:space="preserve"> К </w:t>
      </w:r>
      <w:r>
        <w:rPr>
          <w:sz w:val="28"/>
          <w:szCs w:val="28"/>
          <w:highlight w:val="white"/>
        </w:rPr>
        <w:t xml:space="preserve">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обстояте</w:t>
      </w:r>
      <w:r>
        <w:rPr>
          <w:sz w:val="28"/>
          <w:szCs w:val="28"/>
          <w:highlight w:val="white"/>
        </w:rPr>
        <w:t xml:space="preserve">льств, указанных в пункте 27.3 </w:t>
      </w:r>
      <w:r>
        <w:rPr>
          <w:sz w:val="28"/>
          <w:szCs w:val="28"/>
          <w:highlight w:val="white"/>
        </w:rPr>
        <w:t xml:space="preserve">настоящего Положения.</w:t>
      </w:r>
      <w:r/>
    </w:p>
    <w:p>
      <w:pPr>
        <w:pStyle w:val="499"/>
        <w:contextualSpacing w:val="true"/>
        <w:ind w:left="0" w:right="-2" w:firstLine="709"/>
        <w:tabs>
          <w:tab w:val="left" w:pos="1560" w:leader="none"/>
        </w:tabs>
      </w:pPr>
      <w:r>
        <w:rPr>
          <w:sz w:val="28"/>
          <w:szCs w:val="28"/>
        </w:rPr>
        <w:t xml:space="preserve">При удовлетворении </w:t>
      </w:r>
      <w:r>
        <w:rPr>
          <w:sz w:val="28"/>
          <w:szCs w:val="28"/>
        </w:rPr>
        <w:t xml:space="preserve">указанного заявления контрольным органом проведение контрольного (надзорного) мероприятия переносится на срок, необходимый для устранения причин, повлекших невозможность присутствия контролируемого лица при проведении контрольного (надзорного) мероприятия.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  <w:tab w:val="left" w:pos="1559" w:leader="none"/>
          <w:tab w:val="left" w:pos="2268" w:leader="none"/>
          <w:tab w:val="left" w:pos="2551" w:leader="none"/>
        </w:tabs>
      </w:pPr>
      <w:r>
        <w:rPr>
          <w:sz w:val="28"/>
          <w:szCs w:val="28"/>
        </w:rPr>
        <w:t xml:space="preserve"> В случае, если проведение контрольного (надзорного) мероприятия, </w:t>
      </w:r>
      <w:r>
        <w:rPr>
          <w:sz w:val="28"/>
          <w:szCs w:val="28"/>
          <w:highlight w:val="white"/>
        </w:rPr>
        <w:t xml:space="preserve">предусматривающего взаимодействие с контролируемым лицом, оказалось невозможным в </w:t>
      </w:r>
      <w:r>
        <w:rPr>
          <w:sz w:val="28"/>
          <w:szCs w:val="28"/>
        </w:rPr>
        <w:t xml:space="preserve">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r>
        <w:rPr>
          <w:sz w:val="28"/>
          <w:szCs w:val="28"/>
        </w:rPr>
        <w:t xml:space="preserve">деятельности</w:t>
      </w:r>
      <w:r>
        <w:rPr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</w:t>
      </w:r>
      <w:r>
        <w:rPr>
          <w:sz w:val="28"/>
          <w:szCs w:val="28"/>
        </w:rPr>
        <w:t xml:space="preserve"> (надзорного) мероприятия, уполномоченное должностное лицо Управления составляет акт о невозможности проведения контрольного (надзорного) мероприятия с указанием причин и информирует контролируемое лицо о невозможности проведения контрольного (надзорного) </w:t>
      </w:r>
      <w:r>
        <w:rPr>
          <w:sz w:val="28"/>
          <w:szCs w:val="28"/>
        </w:rPr>
        <w:t xml:space="preserve">мероприятия. В этом случае уполномоченное должностное лицо Управления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мероприятия. 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  <w:tab w:val="left" w:pos="1559" w:leader="none"/>
          <w:tab w:val="left" w:pos="2268" w:leader="none"/>
          <w:tab w:val="left" w:pos="2551" w:leader="none"/>
        </w:tabs>
      </w:pPr>
      <w:r>
        <w:rPr>
          <w:sz w:val="28"/>
          <w:szCs w:val="28"/>
        </w:rPr>
        <w:t xml:space="preserve"> В </w:t>
      </w:r>
      <w:r>
        <w:rPr>
          <w:sz w:val="28"/>
          <w:szCs w:val="28"/>
          <w:highlight w:val="white"/>
        </w:rPr>
        <w:t xml:space="preserve">случае, указанном в пункте </w:t>
      </w:r>
      <w:r>
        <w:rPr>
          <w:sz w:val="28"/>
          <w:szCs w:val="28"/>
          <w:highlight w:val="white"/>
        </w:rPr>
        <w:t xml:space="preserve">27</w:t>
      </w:r>
      <w:r>
        <w:rPr>
          <w:sz w:val="28"/>
          <w:szCs w:val="28"/>
          <w:highlight w:val="white"/>
        </w:rPr>
        <w:t xml:space="preserve">.5 настоящего Положения, уполномоченное должностн</w:t>
      </w:r>
      <w:r>
        <w:rPr>
          <w:sz w:val="28"/>
          <w:szCs w:val="28"/>
        </w:rPr>
        <w:t xml:space="preserve">ое лицо Управления вправе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  <w:tab w:val="left" w:pos="1559" w:leader="none"/>
          <w:tab w:val="left" w:pos="2268" w:leader="none"/>
          <w:tab w:val="left" w:pos="2551" w:leader="none"/>
        </w:tabs>
      </w:pPr>
      <w:r>
        <w:rPr>
          <w:sz w:val="28"/>
          <w:szCs w:val="28"/>
        </w:rPr>
        <w:t xml:space="preserve"> Для фиксации нарушения обязательных требований должностными лицами Управления и лицами, привлекаемыми к совершению надзорных действий, доказательств могут использоваться фотосъемка и (или) видеозапись. 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  <w:tab w:val="left" w:pos="1559" w:leader="none"/>
          <w:tab w:val="left" w:pos="2268" w:leader="none"/>
          <w:tab w:val="left" w:pos="2551" w:leader="none"/>
        </w:tabs>
      </w:pPr>
      <w:r>
        <w:rPr>
          <w:sz w:val="28"/>
          <w:szCs w:val="28"/>
        </w:rPr>
        <w:t xml:space="preserve">Фотосъемка и (или) видеозапись производится при проведении осмотра в рамках контрольного (надзорного) мероприятия.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  <w:tab w:val="left" w:pos="1559" w:leader="none"/>
          <w:tab w:val="left" w:pos="2268" w:leader="none"/>
          <w:tab w:val="left" w:pos="2551" w:leader="none"/>
        </w:tabs>
      </w:pPr>
      <w:r>
        <w:rPr>
          <w:sz w:val="28"/>
          <w:szCs w:val="28"/>
        </w:rPr>
        <w:t xml:space="preserve">Применение видеозаписи для фиксации нарушения обязательных требований при проведении осмотра в отсутствие контролируемого лица или его представителя является обязательным.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  <w:tab w:val="left" w:pos="1559" w:leader="none"/>
          <w:tab w:val="left" w:pos="2268" w:leader="none"/>
          <w:tab w:val="left" w:pos="2551" w:leader="none"/>
        </w:tabs>
      </w:pPr>
      <w:r>
        <w:rPr>
          <w:sz w:val="28"/>
          <w:szCs w:val="28"/>
        </w:rPr>
        <w:t xml:space="preserve"> Материалы фот</w:t>
      </w:r>
      <w:r>
        <w:rPr>
          <w:sz w:val="28"/>
          <w:szCs w:val="28"/>
        </w:rPr>
        <w:t xml:space="preserve">о-</w:t>
      </w:r>
      <w:r>
        <w:rPr>
          <w:sz w:val="28"/>
          <w:szCs w:val="28"/>
        </w:rPr>
        <w:t xml:space="preserve"> и (или) видеосъемки объекта надзора и его частей должны обеспечивать наглядную фиксацию объекта контроля и события, обладающего признаками нарушения обязательных требований (при его наличии).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  <w:tab w:val="left" w:pos="1559" w:leader="none"/>
          <w:tab w:val="left" w:pos="2268" w:leader="none"/>
          <w:tab w:val="left" w:pos="2551" w:leader="none"/>
        </w:tabs>
      </w:pPr>
      <w:r>
        <w:rPr>
          <w:sz w:val="28"/>
          <w:szCs w:val="28"/>
        </w:rPr>
        <w:t xml:space="preserve">О применении фотосъемки и (или) видеозаписи в акте </w:t>
      </w:r>
      <w:r>
        <w:rPr>
          <w:sz w:val="28"/>
          <w:szCs w:val="28"/>
        </w:rPr>
        <w:t xml:space="preserve">контрольного (надзорного) мероприятия делается соответствующая запись. Материалы </w:t>
      </w:r>
      <w:r>
        <w:rPr>
          <w:sz w:val="28"/>
          <w:szCs w:val="28"/>
        </w:rPr>
        <w:t xml:space="preserve">фотофиксации</w:t>
      </w:r>
      <w:r>
        <w:rPr>
          <w:sz w:val="28"/>
          <w:szCs w:val="28"/>
        </w:rPr>
        <w:t xml:space="preserve"> и (или) файлы с видеозаписью прилагаются к акту контрольного (надзорного) мероприятия. 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  <w:tab w:val="left" w:pos="1559" w:leader="none"/>
          <w:tab w:val="left" w:pos="2268" w:leader="none"/>
          <w:tab w:val="left" w:pos="2551" w:leader="none"/>
        </w:tabs>
      </w:pPr>
      <w:r>
        <w:rPr>
          <w:sz w:val="28"/>
          <w:szCs w:val="28"/>
        </w:rPr>
        <w:t xml:space="preserve">Результаты контрольного (надзорного)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  <w:tab w:val="left" w:pos="1559" w:leader="none"/>
          <w:tab w:val="left" w:pos="2268" w:leader="none"/>
          <w:tab w:val="left" w:pos="2551" w:leader="none"/>
        </w:tabs>
      </w:pPr>
      <w:r>
        <w:rPr>
          <w:sz w:val="28"/>
          <w:szCs w:val="28"/>
        </w:rPr>
        <w:t xml:space="preserve">Акт контрольного (надзорного) мероприятия, проведение которого было согласовано органами прокуратуры, направляется в органы прокуратуры непосредственно после его оформления.</w:t>
      </w:r>
      <w:r/>
    </w:p>
    <w:p>
      <w:pPr>
        <w:pStyle w:val="499"/>
        <w:numPr>
          <w:ilvl w:val="1"/>
          <w:numId w:val="2"/>
        </w:numPr>
        <w:ind w:left="0" w:right="-2" w:firstLine="709"/>
        <w:tabs>
          <w:tab w:val="left" w:pos="1276" w:leader="none"/>
          <w:tab w:val="left" w:pos="1559" w:leader="none"/>
          <w:tab w:val="left" w:pos="2268" w:leader="none"/>
          <w:tab w:val="left" w:pos="2551" w:leader="none"/>
        </w:tabs>
      </w:pPr>
      <w:r>
        <w:rPr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контролируемым лицом Управление обязано: </w:t>
      </w:r>
      <w:r/>
    </w:p>
    <w:p>
      <w:pPr>
        <w:pStyle w:val="499"/>
        <w:numPr>
          <w:ilvl w:val="0"/>
          <w:numId w:val="14"/>
        </w:numPr>
        <w:ind w:left="0" w:right="-2" w:firstLine="709"/>
        <w:tabs>
          <w:tab w:val="left" w:pos="992" w:leader="none"/>
          <w:tab w:val="left" w:pos="1560" w:leader="none"/>
        </w:tabs>
      </w:pPr>
      <w:r>
        <w:rPr>
          <w:sz w:val="28"/>
          <w:szCs w:val="28"/>
        </w:rPr>
        <w:t xml:space="preserve">выдать после оформления акта контрольного (надзорного) мероприятия контро</w:t>
      </w:r>
      <w:r>
        <w:rPr>
          <w:sz w:val="28"/>
          <w:szCs w:val="28"/>
        </w:rPr>
        <w:t xml:space="preserve">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Предписание оформляется на бланке Управления;</w:t>
      </w:r>
      <w:r/>
    </w:p>
    <w:p>
      <w:pPr>
        <w:pStyle w:val="499"/>
        <w:numPr>
          <w:ilvl w:val="0"/>
          <w:numId w:val="14"/>
        </w:numPr>
        <w:ind w:left="0" w:right="-2" w:firstLine="709"/>
        <w:tabs>
          <w:tab w:val="left" w:pos="992" w:leader="none"/>
          <w:tab w:val="left" w:pos="1560" w:leader="none"/>
        </w:tabs>
      </w:pPr>
      <w:r>
        <w:rPr>
          <w:sz w:val="28"/>
          <w:szCs w:val="28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причинения;</w:t>
      </w:r>
      <w:r/>
    </w:p>
    <w:p>
      <w:pPr>
        <w:pStyle w:val="499"/>
        <w:numPr>
          <w:ilvl w:val="0"/>
          <w:numId w:val="14"/>
        </w:numPr>
        <w:ind w:left="0" w:right="-2" w:firstLine="709"/>
        <w:tabs>
          <w:tab w:val="left" w:pos="992" w:leader="none"/>
          <w:tab w:val="left" w:pos="1560" w:leader="none"/>
        </w:tabs>
      </w:pPr>
      <w:r>
        <w:rPr>
          <w:sz w:val="28"/>
          <w:szCs w:val="28"/>
        </w:rPr>
        <w:t xml:space="preserve">при выявлении в ходе контрольного (надзорного) мероприятия признаков административного правонарушения принять меры по привлечению виновных лиц к установленной законом ответственности, а в случае выявления признаков администр</w:t>
      </w:r>
      <w:r>
        <w:rPr>
          <w:sz w:val="28"/>
          <w:szCs w:val="28"/>
        </w:rPr>
        <w:t xml:space="preserve">ативного правонарушении, возбуждение дел по которому не отнесено к компетенции уполномоченного контрольного органа, а также при выявлении признаков преступления направить соответствующую информацию в государственный орган в соответствии с его компетенцией;</w:t>
      </w:r>
      <w:r/>
    </w:p>
    <w:p>
      <w:pPr>
        <w:pStyle w:val="499"/>
        <w:numPr>
          <w:ilvl w:val="0"/>
          <w:numId w:val="14"/>
        </w:numPr>
        <w:ind w:left="0" w:right="-2" w:firstLine="709"/>
        <w:tabs>
          <w:tab w:val="left" w:pos="992" w:leader="none"/>
          <w:tab w:val="left" w:pos="1560" w:leader="none"/>
        </w:tabs>
      </w:pPr>
      <w:r>
        <w:rPr>
          <w:sz w:val="28"/>
          <w:szCs w:val="28"/>
        </w:rPr>
        <w:t xml:space="preserve">принять меры по осуществлению </w:t>
      </w:r>
      <w:r>
        <w:rPr>
          <w:sz w:val="28"/>
          <w:szCs w:val="28"/>
        </w:rPr>
        <w:t xml:space="preserve">контроля за</w:t>
      </w:r>
      <w:r>
        <w:rPr>
          <w:sz w:val="28"/>
          <w:szCs w:val="28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 </w:t>
      </w:r>
      <w:r/>
    </w:p>
    <w:p>
      <w:pPr>
        <w:pStyle w:val="499"/>
        <w:numPr>
          <w:ilvl w:val="0"/>
          <w:numId w:val="14"/>
        </w:numPr>
        <w:ind w:left="0" w:right="-2" w:firstLine="709"/>
        <w:tabs>
          <w:tab w:val="left" w:pos="992" w:leader="none"/>
          <w:tab w:val="left" w:pos="1560" w:leader="none"/>
        </w:tabs>
      </w:pPr>
      <w:r>
        <w:rPr>
          <w:sz w:val="28"/>
          <w:szCs w:val="28"/>
        </w:rPr>
        <w:t xml:space="preserve"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  <w:r/>
    </w:p>
    <w:p>
      <w:pPr>
        <w:pStyle w:val="499"/>
        <w:contextualSpacing w:val="true"/>
        <w:ind w:right="-2"/>
        <w:tabs>
          <w:tab w:val="left" w:pos="1560" w:leader="none"/>
        </w:tabs>
      </w:pPr>
      <w:r/>
      <w:r/>
    </w:p>
    <w:p>
      <w:pPr>
        <w:pStyle w:val="499"/>
        <w:numPr>
          <w:ilvl w:val="0"/>
          <w:numId w:val="2"/>
        </w:numPr>
        <w:ind w:left="0" w:right="-2"/>
        <w:jc w:val="center"/>
        <w:tabs>
          <w:tab w:val="left" w:pos="1276" w:leader="none"/>
          <w:tab w:val="left" w:pos="1559" w:leader="none"/>
          <w:tab w:val="left" w:pos="2268" w:leader="none"/>
          <w:tab w:val="left" w:pos="2551" w:leader="none"/>
        </w:tabs>
        <w:rPr>
          <w:sz w:val="28"/>
        </w:rPr>
        <w:outlineLvl w:val="0"/>
      </w:pPr>
      <w:r>
        <w:rPr>
          <w:bCs/>
          <w:sz w:val="28"/>
          <w:szCs w:val="28"/>
        </w:rPr>
        <w:t xml:space="preserve">Порядок проведения контрольных (надзорных) мероприятий</w:t>
      </w:r>
      <w:r/>
    </w:p>
    <w:p>
      <w:pPr>
        <w:pStyle w:val="499"/>
        <w:ind w:left="0" w:right="-2" w:firstLine="0"/>
        <w:jc w:val="center"/>
        <w:tabs>
          <w:tab w:val="left" w:pos="992" w:leader="none"/>
          <w:tab w:val="left" w:pos="1134" w:leader="none"/>
        </w:tabs>
        <w:rPr>
          <w:sz w:val="28"/>
        </w:rPr>
        <w:outlineLvl w:val="0"/>
      </w:pPr>
      <w:r>
        <w:rPr>
          <w:sz w:val="28"/>
        </w:rPr>
      </w:r>
      <w:r/>
    </w:p>
    <w:p>
      <w:pPr>
        <w:pStyle w:val="499"/>
        <w:numPr>
          <w:ilvl w:val="1"/>
          <w:numId w:val="2"/>
        </w:numPr>
        <w:ind w:left="0" w:right="-2"/>
        <w:jc w:val="center"/>
        <w:tabs>
          <w:tab w:val="left" w:pos="992" w:leader="none"/>
          <w:tab w:val="left" w:pos="1134" w:leader="none"/>
          <w:tab w:val="left" w:pos="3685" w:leader="none"/>
        </w:tabs>
        <w:rPr>
          <w:sz w:val="28"/>
        </w:rPr>
        <w:outlineLvl w:val="0"/>
      </w:pPr>
      <w:r>
        <w:rPr>
          <w:bCs/>
          <w:sz w:val="28"/>
          <w:szCs w:val="28"/>
        </w:rPr>
        <w:t xml:space="preserve">Инспекционный визит</w:t>
      </w:r>
      <w:r/>
    </w:p>
    <w:p>
      <w:pPr>
        <w:pStyle w:val="499"/>
        <w:ind w:left="0" w:right="-2" w:firstLine="0"/>
        <w:jc w:val="center"/>
        <w:tabs>
          <w:tab w:val="left" w:pos="992" w:leader="none"/>
          <w:tab w:val="left" w:pos="1134" w:leader="none"/>
        </w:tabs>
        <w:rPr>
          <w:sz w:val="28"/>
        </w:rPr>
        <w:outlineLvl w:val="0"/>
      </w:pPr>
      <w:r>
        <w:rPr>
          <w:sz w:val="28"/>
        </w:rPr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1134" w:leader="none"/>
          <w:tab w:val="left" w:pos="155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Под инспекционным визитом понимается контрольное (надзорное) мероприятие, проводимое путем взаимодействия с конкретным контролируемым лицом.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1134" w:leader="none"/>
          <w:tab w:val="left" w:pos="155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Инспекционный визит проводится по месту нахождения </w:t>
      </w:r>
      <w:r>
        <w:rPr>
          <w:sz w:val="28"/>
          <w:szCs w:val="28"/>
        </w:rPr>
        <w:t xml:space="preserve">(осуществления деятельности) контролируемого лица.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В ходе инспекционного визита могут совершаться следующие контрольные (надзорные) действия:</w:t>
      </w:r>
      <w:r/>
    </w:p>
    <w:p>
      <w:pPr>
        <w:pStyle w:val="499"/>
        <w:numPr>
          <w:ilvl w:val="0"/>
          <w:numId w:val="23"/>
        </w:numPr>
        <w:contextualSpacing w:val="true"/>
        <w:ind w:right="-2"/>
        <w:tabs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осмотр;</w:t>
      </w:r>
      <w:r/>
    </w:p>
    <w:p>
      <w:pPr>
        <w:pStyle w:val="499"/>
        <w:numPr>
          <w:ilvl w:val="0"/>
          <w:numId w:val="23"/>
        </w:numPr>
        <w:contextualSpacing w:val="true"/>
        <w:ind w:right="-2"/>
        <w:tabs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опрос;</w:t>
      </w:r>
      <w:r/>
    </w:p>
    <w:p>
      <w:pPr>
        <w:pStyle w:val="499"/>
        <w:numPr>
          <w:ilvl w:val="0"/>
          <w:numId w:val="23"/>
        </w:numPr>
        <w:contextualSpacing w:val="true"/>
        <w:ind w:right="-2"/>
        <w:tabs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получение письменных объяснений;</w:t>
      </w:r>
      <w:r/>
    </w:p>
    <w:p>
      <w:pPr>
        <w:pStyle w:val="499"/>
        <w:numPr>
          <w:ilvl w:val="0"/>
          <w:numId w:val="23"/>
        </w:numPr>
        <w:contextualSpacing w:val="true"/>
        <w:ind w:right="-2"/>
        <w:tabs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инструментальное обследование;</w:t>
      </w:r>
      <w:r/>
    </w:p>
    <w:p>
      <w:pPr>
        <w:pStyle w:val="499"/>
        <w:numPr>
          <w:ilvl w:val="0"/>
          <w:numId w:val="23"/>
        </w:numPr>
        <w:contextualSpacing w:val="true"/>
        <w:ind w:right="-2"/>
        <w:tabs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объекта контроля.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Инспекционный визит проводится при наличии оснований, указанных в пунктах 1, 3-6 части 1 статьи 57 и в соответствии со стать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й 70 Федерального закона № 248-ФЗ.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1 статьи 57 Федерального закона № 248-ФЗ.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Инспекционный визит проводится без предварительного уведомления контролируемого лица.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Инспекционный визит в одном месте осуществления деятельности либо на одном объекте контроля проводится в пределах одного рабочего дня.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Контролируемое лицо обязано обеспечить беспрепятственный доступ должностного лица Управления на объекты контроля.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В случае выявления в ходе инспекционного визита нарушения обязательных требований уполномоченное должностное лицо Управления обязано принять меры, установленные пункто</w:t>
      </w:r>
      <w:r>
        <w:rPr>
          <w:sz w:val="28"/>
          <w:szCs w:val="28"/>
          <w:highlight w:val="white"/>
        </w:rPr>
        <w:t xml:space="preserve">м </w:t>
      </w:r>
      <w:r>
        <w:rPr>
          <w:sz w:val="28"/>
          <w:szCs w:val="28"/>
          <w:highlight w:val="white"/>
        </w:rPr>
        <w:t xml:space="preserve">27</w:t>
      </w:r>
      <w:r>
        <w:rPr>
          <w:sz w:val="28"/>
          <w:szCs w:val="28"/>
          <w:highlight w:val="white"/>
        </w:rPr>
        <w:t xml:space="preserve">.14 н</w:t>
      </w:r>
      <w:r>
        <w:rPr>
          <w:sz w:val="28"/>
          <w:szCs w:val="28"/>
        </w:rPr>
        <w:t xml:space="preserve">астоящего Положения.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В случае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если проведение инспекционного визита оказалось невозможным, уполномоченное должностное лицо Управления составляет акт о невозможности проведения контрольного (надзорного) мероприятия.</w:t>
      </w:r>
      <w:r/>
    </w:p>
    <w:p>
      <w:pPr>
        <w:pStyle w:val="499"/>
        <w:ind w:right="-2" w:firstLine="709"/>
        <w:tabs>
          <w:tab w:val="left" w:pos="1560" w:leader="none"/>
        </w:tabs>
      </w:pPr>
      <w:r/>
      <w:r/>
    </w:p>
    <w:p>
      <w:pPr>
        <w:pStyle w:val="499"/>
        <w:numPr>
          <w:ilvl w:val="1"/>
          <w:numId w:val="2"/>
        </w:numPr>
        <w:ind w:left="0" w:right="-2"/>
        <w:jc w:val="center"/>
        <w:tabs>
          <w:tab w:val="left" w:pos="992" w:leader="none"/>
          <w:tab w:val="left" w:pos="1134" w:leader="none"/>
        </w:tabs>
      </w:pPr>
      <w:r>
        <w:rPr>
          <w:sz w:val="28"/>
          <w:szCs w:val="28"/>
        </w:rPr>
        <w:t xml:space="preserve">Рейдовый осмотр</w:t>
      </w:r>
      <w:r/>
    </w:p>
    <w:p>
      <w:pPr>
        <w:pStyle w:val="499"/>
        <w:ind w:left="0" w:right="-2" w:firstLine="0"/>
        <w:jc w:val="center"/>
        <w:tabs>
          <w:tab w:val="left" w:pos="992" w:leader="none"/>
          <w:tab w:val="left" w:pos="1134" w:leader="none"/>
        </w:tabs>
      </w:pPr>
      <w:r/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1134" w:leader="none"/>
          <w:tab w:val="left" w:pos="1559" w:leader="none"/>
        </w:tabs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Под рейдовым осмотром понимается контрольное (надзорное) мероприятие, п</w:t>
      </w:r>
      <w:r>
        <w:rPr>
          <w:color w:val="000000"/>
          <w:sz w:val="28"/>
          <w:szCs w:val="28"/>
          <w:shd w:val="clear" w:color="auto" w:fill="FFFFFF"/>
        </w:rPr>
        <w:t xml:space="preserve">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В ходе рейдового осмотра могут совершаться следующие контрольные (надзорные) действия:</w:t>
      </w:r>
      <w:r/>
    </w:p>
    <w:p>
      <w:pPr>
        <w:pStyle w:val="499"/>
        <w:numPr>
          <w:ilvl w:val="0"/>
          <w:numId w:val="24"/>
        </w:numPr>
        <w:contextualSpacing w:val="true"/>
        <w:ind w:right="-2"/>
        <w:tabs>
          <w:tab w:val="left" w:pos="992" w:leader="none"/>
        </w:tabs>
      </w:pPr>
      <w:r>
        <w:rPr>
          <w:sz w:val="28"/>
          <w:szCs w:val="28"/>
        </w:rPr>
        <w:t xml:space="preserve">осмотр;</w:t>
      </w:r>
      <w:r/>
    </w:p>
    <w:p>
      <w:pPr>
        <w:pStyle w:val="499"/>
        <w:numPr>
          <w:ilvl w:val="0"/>
          <w:numId w:val="24"/>
        </w:numPr>
        <w:contextualSpacing w:val="true"/>
        <w:ind w:right="-2"/>
        <w:tabs>
          <w:tab w:val="left" w:pos="992" w:leader="none"/>
        </w:tabs>
      </w:pPr>
      <w:r>
        <w:rPr>
          <w:sz w:val="28"/>
          <w:szCs w:val="28"/>
        </w:rPr>
        <w:t xml:space="preserve">опрос;</w:t>
      </w:r>
      <w:r/>
    </w:p>
    <w:p>
      <w:pPr>
        <w:pStyle w:val="499"/>
        <w:numPr>
          <w:ilvl w:val="0"/>
          <w:numId w:val="24"/>
        </w:numPr>
        <w:contextualSpacing w:val="true"/>
        <w:ind w:right="-2"/>
        <w:tabs>
          <w:tab w:val="left" w:pos="992" w:leader="none"/>
        </w:tabs>
      </w:pPr>
      <w:r>
        <w:rPr>
          <w:sz w:val="28"/>
          <w:szCs w:val="28"/>
        </w:rPr>
        <w:t xml:space="preserve">получение письменных объяснений;</w:t>
      </w:r>
      <w:r/>
    </w:p>
    <w:p>
      <w:pPr>
        <w:pStyle w:val="499"/>
        <w:numPr>
          <w:ilvl w:val="0"/>
          <w:numId w:val="24"/>
        </w:numPr>
        <w:contextualSpacing w:val="true"/>
        <w:ind w:right="-2"/>
        <w:tabs>
          <w:tab w:val="left" w:pos="992" w:leader="none"/>
        </w:tabs>
      </w:pPr>
      <w:r>
        <w:rPr>
          <w:sz w:val="28"/>
          <w:szCs w:val="28"/>
        </w:rPr>
        <w:t xml:space="preserve">истребование документов;</w:t>
      </w:r>
      <w:r/>
    </w:p>
    <w:p>
      <w:pPr>
        <w:pStyle w:val="499"/>
        <w:numPr>
          <w:ilvl w:val="0"/>
          <w:numId w:val="24"/>
        </w:numPr>
        <w:contextualSpacing w:val="true"/>
        <w:ind w:right="-2"/>
        <w:tabs>
          <w:tab w:val="left" w:pos="992" w:leader="none"/>
        </w:tabs>
      </w:pPr>
      <w:r>
        <w:rPr>
          <w:sz w:val="28"/>
          <w:szCs w:val="28"/>
        </w:rPr>
        <w:t xml:space="preserve">инструментальное обследование.</w:t>
      </w:r>
      <w:r/>
    </w:p>
    <w:p>
      <w:pPr>
        <w:contextualSpacing w:val="true"/>
        <w:ind w:right="-2" w:firstLine="709"/>
        <w:jc w:val="both"/>
        <w:tabs>
          <w:tab w:val="left" w:pos="1560" w:leader="none"/>
        </w:tabs>
      </w:pPr>
      <w:r>
        <w:rPr>
          <w:sz w:val="28"/>
          <w:szCs w:val="28"/>
        </w:rPr>
        <w:t xml:space="preserve">Рейдовый осмотр может проводиться с участием специалистов, привлекаемых к проведению контрольного (надзорного) мероприятия.</w:t>
      </w:r>
      <w:r/>
    </w:p>
    <w:p>
      <w:pPr>
        <w:pStyle w:val="499"/>
        <w:contextualSpacing w:val="true"/>
        <w:ind w:left="0" w:right="-2" w:firstLine="709"/>
        <w:tabs>
          <w:tab w:val="left" w:pos="1560" w:leader="none"/>
        </w:tabs>
      </w:pPr>
      <w:r>
        <w:rPr>
          <w:sz w:val="28"/>
          <w:szCs w:val="28"/>
        </w:rPr>
        <w:t xml:space="preserve">Рейдовый осмотр может проводиться в форме совместного (межведомственного) контрольного (надзорного) мероприятия.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Рейдовый осмотр проводится при наличии оснований, указанных в пунктах 1, 3-6 части 1 статьи 57 и в соответствии со стать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й 71 Федерального закона № 248-ФЗ.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3-6 части 1 статьи 57 Федерального закона № 248-ФЗ.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При проведении рейдового осмотра должностные лица Управления вправе взаимодействовать с находящимися на охраняемых объектах и территориях гражданами.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Правообладатели объектов культурного наследия и (или) контролируемые лица, находящиеся на охраняемых объектах и территориях, на кот</w:t>
      </w:r>
      <w:r>
        <w:rPr>
          <w:sz w:val="28"/>
          <w:szCs w:val="28"/>
        </w:rPr>
        <w:t xml:space="preserve">орых проводится рейдовый осмотр, обязаны обеспечить должностным лицам Управления в ходе рейдового осмотра беспрепятственный доступ к охраняемым объектам (включая все помещения, кроме жилых) и территориям, указанным в решении о проведении рейдового осмотра.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В случае если в результате рейдового осмотра были выявлены нарушения обязательных требований, уполномоченное должностное лицо Управления на месте составляет акт в отношении каждого контролируемого лица, допустившего нарушение.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В случае выявления нарушения обязательных требований уполномоченное должностное лицо Управления обязано принять меры, установленные пунктом 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.14 настоящего Положения.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В случае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если проведение рейдового осмотра оказалось невозможным, уполномоченное должностное лицо Управления составляет акт о невозможности проведения контрольного (надзорного) мероприятия.</w:t>
      </w:r>
      <w:r/>
    </w:p>
    <w:p>
      <w:pPr>
        <w:pStyle w:val="499"/>
        <w:ind w:right="-2" w:firstLine="709"/>
        <w:tabs>
          <w:tab w:val="left" w:pos="1560" w:leader="none"/>
        </w:tabs>
      </w:pPr>
      <w:r/>
      <w:r/>
    </w:p>
    <w:p>
      <w:pPr>
        <w:pStyle w:val="499"/>
        <w:numPr>
          <w:ilvl w:val="1"/>
          <w:numId w:val="2"/>
        </w:numPr>
        <w:ind w:left="0" w:right="-2"/>
        <w:jc w:val="center"/>
        <w:tabs>
          <w:tab w:val="left" w:pos="992" w:leader="none"/>
          <w:tab w:val="left" w:pos="1134" w:leader="none"/>
        </w:tabs>
      </w:pPr>
      <w:r>
        <w:rPr>
          <w:sz w:val="28"/>
          <w:szCs w:val="28"/>
        </w:rPr>
        <w:t xml:space="preserve">Документарная проверка</w:t>
      </w:r>
      <w:r/>
    </w:p>
    <w:p>
      <w:pPr>
        <w:pStyle w:val="499"/>
        <w:ind w:right="-2" w:firstLine="709"/>
        <w:tabs>
          <w:tab w:val="left" w:pos="1560" w:leader="none"/>
        </w:tabs>
      </w:pPr>
      <w:r/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 Под документарной проверкой понимается контрольное (надзорное) мероприятие, которое проводится по месту нахождения </w:t>
      </w:r>
      <w:r>
        <w:rPr>
          <w:color w:val="000000"/>
          <w:sz w:val="28"/>
          <w:szCs w:val="28"/>
          <w:shd w:val="clear" w:color="auto" w:fill="FFFFFF"/>
        </w:rPr>
        <w:t xml:space="preserve">Управления</w:t>
      </w:r>
      <w:r>
        <w:rPr>
          <w:color w:val="000000"/>
          <w:sz w:val="28"/>
          <w:szCs w:val="28"/>
          <w:shd w:val="clear" w:color="auto" w:fill="FFFFFF"/>
        </w:rPr>
        <w:t xml:space="preserve"> и предметом которого являются исключительно с</w:t>
      </w:r>
      <w:r>
        <w:rPr>
          <w:color w:val="000000"/>
          <w:sz w:val="28"/>
          <w:szCs w:val="28"/>
          <w:shd w:val="clear" w:color="auto" w:fill="FFFFFF"/>
        </w:rPr>
        <w:t xml:space="preserve">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</w:t>
      </w:r>
      <w:r>
        <w:rPr>
          <w:color w:val="000000"/>
          <w:sz w:val="28"/>
          <w:szCs w:val="28"/>
          <w:shd w:val="clear" w:color="auto" w:fill="FFFFFF"/>
        </w:rPr>
        <w:t xml:space="preserve">Управления.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</w:t>
      </w:r>
      <w:r>
        <w:rPr>
          <w:color w:val="000000"/>
          <w:sz w:val="28"/>
          <w:szCs w:val="28"/>
          <w:shd w:val="clear" w:color="auto" w:fill="FFFFFF"/>
        </w:rPr>
        <w:t xml:space="preserve">рассмотрения дел об административных правонарушениях и иные документы о результатах осуществленных контрольных (надзорных) мероприятий в отношении этих контролируемых лиц.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В ходе документарной проверки могут совершаться следующие контрольные (надзорные) действия:</w:t>
      </w:r>
      <w:r/>
    </w:p>
    <w:p>
      <w:pPr>
        <w:pStyle w:val="499"/>
        <w:numPr>
          <w:ilvl w:val="0"/>
          <w:numId w:val="25"/>
        </w:numPr>
        <w:contextualSpacing w:val="true"/>
        <w:ind w:right="-2"/>
        <w:tabs>
          <w:tab w:val="left" w:pos="992" w:leader="none"/>
        </w:tabs>
      </w:pPr>
      <w:r>
        <w:rPr>
          <w:sz w:val="28"/>
          <w:szCs w:val="28"/>
        </w:rPr>
        <w:t xml:space="preserve">получение письменных объяснений;</w:t>
      </w:r>
      <w:r/>
    </w:p>
    <w:p>
      <w:pPr>
        <w:pStyle w:val="499"/>
        <w:numPr>
          <w:ilvl w:val="0"/>
          <w:numId w:val="25"/>
        </w:numPr>
        <w:contextualSpacing w:val="true"/>
        <w:ind w:right="-2"/>
        <w:tabs>
          <w:tab w:val="left" w:pos="992" w:leader="none"/>
        </w:tabs>
      </w:pPr>
      <w:r>
        <w:rPr>
          <w:sz w:val="28"/>
          <w:szCs w:val="28"/>
        </w:rPr>
        <w:t xml:space="preserve">истребование документов;</w:t>
      </w:r>
      <w:r/>
    </w:p>
    <w:p>
      <w:pPr>
        <w:pStyle w:val="499"/>
        <w:numPr>
          <w:ilvl w:val="0"/>
          <w:numId w:val="25"/>
        </w:numPr>
        <w:contextualSpacing w:val="true"/>
        <w:ind w:right="-2"/>
        <w:tabs>
          <w:tab w:val="left" w:pos="992" w:leader="none"/>
        </w:tabs>
      </w:pPr>
      <w:r>
        <w:rPr>
          <w:sz w:val="28"/>
          <w:szCs w:val="28"/>
        </w:rPr>
        <w:t xml:space="preserve">экспертиза.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Документарная проверка проводится при наличии оснований, указанных в пунктах 1, 3-5 части 1 статьи 57 и в соответствии со стать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й 72 Федерального закона № 248-ФЗ.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Документарная проверка проводится в пределах 10 рабочих дней. </w:t>
      </w:r>
      <w:r>
        <w:rPr>
          <w:sz w:val="28"/>
          <w:szCs w:val="28"/>
        </w:rPr>
        <w:t xml:space="preserve">В указанный срок не включается период с момента направления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</w:t>
      </w:r>
      <w:r>
        <w:rPr>
          <w:sz w:val="28"/>
          <w:szCs w:val="28"/>
        </w:rPr>
        <w:t xml:space="preserve">документов в Управление, а также период с момента направления контролируемому лицу информации Управления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</w:t>
      </w:r>
      <w:r>
        <w:rPr>
          <w:sz w:val="28"/>
          <w:szCs w:val="28"/>
        </w:rPr>
        <w:t xml:space="preserve">, св</w:t>
      </w:r>
      <w:r>
        <w:rPr>
          <w:sz w:val="28"/>
          <w:szCs w:val="28"/>
        </w:rPr>
        <w:t xml:space="preserve">едениям, содержащимся в имеющихся у Управления документах и (или) полученным при осуществлении 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Управление.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В случае если достоверность сведений, содержащихся в документах</w:t>
      </w:r>
      <w:r>
        <w:rPr>
          <w:sz w:val="28"/>
          <w:szCs w:val="28"/>
        </w:rPr>
        <w:t xml:space="preserve">, имеющихся в распоряжении Управления,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</w:t>
      </w:r>
      <w:r>
        <w:rPr>
          <w:sz w:val="28"/>
          <w:szCs w:val="28"/>
        </w:rPr>
        <w:t xml:space="preserve">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</w:t>
      </w:r>
      <w:r>
        <w:rPr>
          <w:sz w:val="28"/>
          <w:szCs w:val="28"/>
        </w:rPr>
        <w:t xml:space="preserve"> контрольного органа документах и (или) полученным при осуществлении государственного контроля (надзора),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</w:t>
      </w:r>
      <w:r>
        <w:rPr>
          <w:sz w:val="28"/>
          <w:szCs w:val="28"/>
        </w:rPr>
        <w:t xml:space="preserve"> необходимые пояснения.</w:t>
      </w:r>
      <w:r/>
    </w:p>
    <w:p>
      <w:pPr>
        <w:pStyle w:val="499"/>
        <w:contextualSpacing w:val="true"/>
        <w:ind w:left="0" w:right="-2" w:firstLine="709"/>
        <w:tabs>
          <w:tab w:val="left" w:pos="1560" w:leader="none"/>
        </w:tabs>
      </w:pPr>
      <w:r>
        <w:rPr>
          <w:sz w:val="28"/>
          <w:szCs w:val="28"/>
        </w:rPr>
        <w:t xml:space="preserve">Контролируемое лиц</w:t>
      </w:r>
      <w:r>
        <w:rPr>
          <w:sz w:val="28"/>
          <w:szCs w:val="28"/>
        </w:rPr>
        <w:t xml:space="preserve">о, представляющее в Управление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Управления документах </w:t>
      </w:r>
      <w:r>
        <w:rPr>
          <w:sz w:val="28"/>
          <w:szCs w:val="28"/>
        </w:rPr>
        <w:t xml:space="preserve">и (или) полученным при осуществлении государственного контроля (надзора), вправе дополнительно представить в Управление документы, подтверждающие достоверность ранее представленных документов.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При проведении документарной проверки Управление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В случае выявления нарушения обязательных требований уполномоченное должностное лицо Управления обязано принят</w:t>
      </w:r>
      <w:r>
        <w:rPr>
          <w:sz w:val="28"/>
          <w:szCs w:val="28"/>
        </w:rPr>
        <w:t xml:space="preserve">ь меры, установленные пунктом 27</w:t>
      </w:r>
      <w:r>
        <w:rPr>
          <w:sz w:val="28"/>
          <w:szCs w:val="28"/>
        </w:rPr>
        <w:t xml:space="preserve">.14 настоящего Положения.</w:t>
      </w:r>
      <w:r/>
    </w:p>
    <w:p>
      <w:pPr>
        <w:pStyle w:val="499"/>
        <w:ind w:right="-2" w:firstLine="709"/>
        <w:tabs>
          <w:tab w:val="left" w:pos="1560" w:leader="none"/>
        </w:tabs>
        <w:rPr>
          <w:sz w:val="28"/>
        </w:rPr>
      </w:pPr>
      <w:r>
        <w:rPr>
          <w:sz w:val="28"/>
        </w:rPr>
      </w:r>
      <w:r/>
    </w:p>
    <w:p>
      <w:pPr>
        <w:pStyle w:val="499"/>
        <w:numPr>
          <w:ilvl w:val="1"/>
          <w:numId w:val="2"/>
        </w:numPr>
        <w:ind w:left="0" w:right="-2"/>
        <w:jc w:val="center"/>
        <w:tabs>
          <w:tab w:val="left" w:pos="992" w:leader="none"/>
          <w:tab w:val="left" w:pos="1134" w:leader="none"/>
        </w:tabs>
      </w:pPr>
      <w:r>
        <w:rPr>
          <w:sz w:val="28"/>
          <w:szCs w:val="28"/>
        </w:rPr>
        <w:t xml:space="preserve">Выездная проверка</w:t>
      </w:r>
      <w:r/>
    </w:p>
    <w:p>
      <w:pPr>
        <w:pStyle w:val="499"/>
        <w:ind w:left="0" w:right="-2" w:firstLine="0"/>
        <w:jc w:val="center"/>
        <w:tabs>
          <w:tab w:val="left" w:pos="992" w:leader="none"/>
          <w:tab w:val="left" w:pos="1134" w:leader="none"/>
        </w:tabs>
        <w:rPr>
          <w:sz w:val="28"/>
        </w:rPr>
      </w:pPr>
      <w:r>
        <w:rPr>
          <w:sz w:val="28"/>
        </w:rPr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 целях оценки соблюдения таким лицом обязательных требований, а также оценки выполнения решений </w:t>
      </w:r>
      <w:r>
        <w:rPr>
          <w:color w:val="000000"/>
          <w:sz w:val="28"/>
          <w:szCs w:val="28"/>
          <w:shd w:val="clear" w:color="auto" w:fill="FFFFFF"/>
        </w:rPr>
        <w:t xml:space="preserve">Управления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Выездная проверка проводится в случае, если не представляется возможным:</w:t>
      </w:r>
      <w:bookmarkStart w:id="0" w:name="dst100218"/>
      <w:r/>
      <w:bookmarkEnd w:id="0"/>
      <w:r/>
      <w:r/>
    </w:p>
    <w:p>
      <w:pPr>
        <w:pStyle w:val="499"/>
        <w:ind w:left="0" w:right="-2" w:firstLine="709"/>
        <w:tabs>
          <w:tab w:val="left" w:pos="992" w:leader="none"/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  <w:bookmarkStart w:id="1" w:name="dst100219"/>
      <w:r/>
      <w:bookmarkEnd w:id="1"/>
      <w:r/>
      <w:r/>
    </w:p>
    <w:p>
      <w:pPr>
        <w:pStyle w:val="499"/>
        <w:ind w:left="0" w:right="-2" w:firstLine="709"/>
        <w:tabs>
          <w:tab w:val="left" w:pos="992" w:leader="none"/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</w:t>
      </w:r>
      <w:r>
        <w:rPr>
          <w:color w:val="000000"/>
          <w:sz w:val="28"/>
          <w:szCs w:val="28"/>
        </w:rPr>
        <w:t xml:space="preserve">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(надзорных) действий, предусмотренных в рамках иного вида контрольных (надзорных) мероприятий.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</w:tabs>
      </w:pPr>
      <w:r>
        <w:rPr>
          <w:sz w:val="28"/>
          <w:szCs w:val="28"/>
        </w:rPr>
        <w:t xml:space="preserve">В ходе выездной проверки могут совершаться следующие контрольные (надзорные) действия:</w:t>
      </w:r>
      <w:r/>
    </w:p>
    <w:p>
      <w:pPr>
        <w:pStyle w:val="499"/>
        <w:numPr>
          <w:ilvl w:val="0"/>
          <w:numId w:val="26"/>
        </w:numPr>
        <w:ind w:right="-2"/>
        <w:tabs>
          <w:tab w:val="left" w:pos="1560" w:leader="none"/>
        </w:tabs>
      </w:pPr>
      <w:r>
        <w:rPr>
          <w:sz w:val="28"/>
          <w:szCs w:val="28"/>
        </w:rPr>
        <w:t xml:space="preserve">осмотр;</w:t>
      </w:r>
      <w:r/>
    </w:p>
    <w:p>
      <w:pPr>
        <w:pStyle w:val="499"/>
        <w:numPr>
          <w:ilvl w:val="0"/>
          <w:numId w:val="26"/>
        </w:numPr>
        <w:ind w:right="-2"/>
        <w:tabs>
          <w:tab w:val="left" w:pos="1560" w:leader="none"/>
        </w:tabs>
      </w:pPr>
      <w:r>
        <w:rPr>
          <w:sz w:val="28"/>
          <w:szCs w:val="28"/>
        </w:rPr>
        <w:t xml:space="preserve">опрос;</w:t>
      </w:r>
      <w:r/>
    </w:p>
    <w:p>
      <w:pPr>
        <w:pStyle w:val="499"/>
        <w:numPr>
          <w:ilvl w:val="0"/>
          <w:numId w:val="26"/>
        </w:numPr>
        <w:ind w:right="-2"/>
        <w:tabs>
          <w:tab w:val="left" w:pos="1560" w:leader="none"/>
        </w:tabs>
      </w:pPr>
      <w:r>
        <w:rPr>
          <w:sz w:val="28"/>
          <w:szCs w:val="28"/>
        </w:rPr>
        <w:t xml:space="preserve">получение письменных объяснений;</w:t>
      </w:r>
      <w:r/>
    </w:p>
    <w:p>
      <w:pPr>
        <w:pStyle w:val="499"/>
        <w:numPr>
          <w:ilvl w:val="0"/>
          <w:numId w:val="26"/>
        </w:numPr>
        <w:ind w:right="-2"/>
        <w:tabs>
          <w:tab w:val="left" w:pos="1560" w:leader="none"/>
        </w:tabs>
      </w:pPr>
      <w:r>
        <w:rPr>
          <w:sz w:val="28"/>
          <w:szCs w:val="28"/>
        </w:rPr>
        <w:t xml:space="preserve">истребование документов;</w:t>
      </w:r>
      <w:r/>
    </w:p>
    <w:p>
      <w:pPr>
        <w:pStyle w:val="499"/>
        <w:numPr>
          <w:ilvl w:val="0"/>
          <w:numId w:val="26"/>
        </w:numPr>
        <w:ind w:right="-2"/>
        <w:tabs>
          <w:tab w:val="left" w:pos="1560" w:leader="none"/>
        </w:tabs>
      </w:pPr>
      <w:r>
        <w:rPr>
          <w:sz w:val="28"/>
          <w:szCs w:val="28"/>
        </w:rPr>
        <w:t xml:space="preserve">инструментальное обследование.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Выездная проверка проводится при наличии оснований, указанных в пунктах 1, 3-5 части 1 статьи 57 и в соответствии со стать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й 73 Федерального закона № 248-ФЗ. 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</w:t>
      </w:r>
      <w:r>
        <w:rPr>
          <w:sz w:val="28"/>
          <w:szCs w:val="28"/>
        </w:rPr>
        <w:t xml:space="preserve">в соответствии с пунктами 3-6 части 1 статьи 57 и частью 12 статьи 66 Федерального закона № 248-ФЗ.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r>
        <w:rPr>
          <w:sz w:val="28"/>
          <w:szCs w:val="28"/>
        </w:rPr>
        <w:t xml:space="preserve">позднее</w:t>
      </w:r>
      <w:r>
        <w:rPr>
          <w:sz w:val="28"/>
          <w:szCs w:val="28"/>
        </w:rPr>
        <w:t xml:space="preserve"> чем за двадцать четыре часа до ее начала в порядке, предусмотренном стать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й 21 Федерального закона № 248-ФЗ.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701" w:leader="none"/>
        </w:tabs>
      </w:pPr>
      <w:r>
        <w:rPr>
          <w:sz w:val="28"/>
          <w:szCs w:val="28"/>
        </w:rPr>
        <w:t xml:space="preserve">Срок проведения выездной проверки не может превышать 10 рабочих дней. </w:t>
      </w:r>
      <w:r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r>
        <w:rPr>
          <w:sz w:val="28"/>
          <w:szCs w:val="28"/>
        </w:rPr>
        <w:t xml:space="preserve">микропредприятия</w:t>
      </w:r>
      <w:r>
        <w:rPr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 248-ФЗ, которая для </w:t>
      </w:r>
      <w:r>
        <w:rPr>
          <w:sz w:val="28"/>
          <w:szCs w:val="28"/>
        </w:rPr>
        <w:t xml:space="preserve">микропредприятия</w:t>
      </w:r>
      <w:r>
        <w:rPr>
          <w:sz w:val="28"/>
          <w:szCs w:val="28"/>
        </w:rPr>
        <w:t xml:space="preserve"> не может продолжаться более 40 часов.</w:t>
      </w:r>
      <w:r/>
    </w:p>
    <w:p>
      <w:pPr>
        <w:pStyle w:val="499"/>
        <w:contextualSpacing w:val="true"/>
        <w:ind w:left="0" w:right="-2" w:firstLine="709"/>
        <w:tabs>
          <w:tab w:val="left" w:pos="1560" w:leader="none"/>
        </w:tabs>
      </w:pPr>
      <w:r>
        <w:rPr>
          <w:sz w:val="28"/>
          <w:szCs w:val="28"/>
        </w:rPr>
        <w:t xml:space="preserve">Срок проведения выездной проверк</w:t>
      </w:r>
      <w:r>
        <w:rPr>
          <w:sz w:val="28"/>
          <w:szCs w:val="28"/>
        </w:rPr>
        <w:t xml:space="preserve">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объекту контроля.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В случае выявления нарушения обязательных требований уполномоченное должностное лицо Управления обязано принять меры, установленные пунктом 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.14 настоящего Положения.</w:t>
      </w:r>
      <w:r/>
    </w:p>
    <w:p>
      <w:pPr>
        <w:pStyle w:val="499"/>
        <w:ind w:right="-2"/>
        <w:tabs>
          <w:tab w:val="left" w:pos="1560" w:leader="none"/>
        </w:tabs>
      </w:pPr>
      <w:r/>
      <w:r/>
    </w:p>
    <w:p>
      <w:pPr>
        <w:pStyle w:val="499"/>
        <w:numPr>
          <w:ilvl w:val="1"/>
          <w:numId w:val="2"/>
        </w:numPr>
        <w:ind w:left="0" w:right="-2"/>
        <w:jc w:val="center"/>
        <w:tabs>
          <w:tab w:val="left" w:pos="992" w:leader="none"/>
          <w:tab w:val="left" w:pos="1134" w:leader="none"/>
        </w:tabs>
      </w:pPr>
      <w:r>
        <w:rPr>
          <w:sz w:val="28"/>
          <w:szCs w:val="28"/>
        </w:rPr>
        <w:t xml:space="preserve">Наблюдение за соблюдение обязательных требований (мониторинг безопасности)</w:t>
      </w:r>
      <w:r/>
    </w:p>
    <w:p>
      <w:pPr>
        <w:pStyle w:val="499"/>
        <w:ind w:right="-2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Под наблюдением за соблюдением обязательных требований (мониторингом безопасности) понимается сбор, анализ данных об объектах контроля, имеющихся у </w:t>
      </w:r>
      <w:r>
        <w:rPr>
          <w:color w:val="000000"/>
          <w:sz w:val="28"/>
          <w:szCs w:val="28"/>
          <w:shd w:val="clear" w:color="auto" w:fill="FFFFFF"/>
        </w:rPr>
        <w:t xml:space="preserve">Управления</w:t>
      </w:r>
      <w:r>
        <w:rPr>
          <w:color w:val="000000"/>
          <w:sz w:val="28"/>
          <w:szCs w:val="28"/>
          <w:shd w:val="clear" w:color="auto" w:fill="FFFFFF"/>
        </w:rPr>
        <w:t xml:space="preserve">, в том числе данных, котор</w:t>
      </w:r>
      <w:r>
        <w:rPr>
          <w:color w:val="000000"/>
          <w:sz w:val="28"/>
          <w:szCs w:val="28"/>
          <w:shd w:val="clear" w:color="auto" w:fill="FFFFFF"/>
        </w:rPr>
        <w:t xml:space="preserve">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>
        <w:rPr>
          <w:color w:val="000000"/>
          <w:sz w:val="28"/>
          <w:szCs w:val="28"/>
          <w:shd w:val="clear" w:color="auto" w:fill="FFFFFF"/>
        </w:rPr>
        <w:t xml:space="preserve">«</w:t>
      </w:r>
      <w:r>
        <w:rPr>
          <w:color w:val="000000"/>
          <w:sz w:val="28"/>
          <w:szCs w:val="28"/>
          <w:shd w:val="clear" w:color="auto" w:fill="FFFFFF"/>
        </w:rPr>
        <w:t xml:space="preserve">Интернет</w:t>
      </w:r>
      <w:r>
        <w:rPr>
          <w:color w:val="000000"/>
          <w:sz w:val="28"/>
          <w:szCs w:val="28"/>
          <w:shd w:val="clear" w:color="auto" w:fill="FFFFFF"/>
        </w:rPr>
        <w:t xml:space="preserve">»</w:t>
      </w:r>
      <w:r>
        <w:rPr>
          <w:color w:val="000000"/>
          <w:sz w:val="28"/>
          <w:szCs w:val="28"/>
          <w:shd w:val="clear" w:color="auto" w:fill="FFFFFF"/>
        </w:rPr>
        <w:t xml:space="preserve">, иных общедоступных данных, а также данных полученных с использованием</w:t>
      </w:r>
      <w:r>
        <w:rPr>
          <w:color w:val="000000"/>
          <w:sz w:val="28"/>
          <w:szCs w:val="28"/>
          <w:shd w:val="clear" w:color="auto" w:fill="FFFFFF"/>
        </w:rPr>
        <w:t xml:space="preserve"> работающих в автоматическом режиме технических средств фиксации правонарушений, имеющих функции фото- и киносъемки, видеозаписи.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аблюдение за соблюдением обязательных требований (мониторинг</w:t>
      </w:r>
      <w:r>
        <w:rPr>
          <w:sz w:val="28"/>
          <w:szCs w:val="28"/>
        </w:rPr>
        <w:t xml:space="preserve"> безопасности) проводится на основании задания лиц, указанных в пункте 6 настоящего Положения, включая задания, содержащиеся в планах работы Управления.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Срок проведения наблюдения за соблюдением обязательных требований (мониторинга безопасности) не может превышать 10 (десять) рабочих дней.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</w:t>
      </w:r>
      <w:r>
        <w:rPr>
          <w:sz w:val="28"/>
          <w:szCs w:val="28"/>
        </w:rPr>
        <w:t xml:space="preserve">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Управлением могут быть приняты следующие решения: </w:t>
      </w:r>
      <w:r/>
    </w:p>
    <w:p>
      <w:pPr>
        <w:pStyle w:val="499"/>
        <w:numPr>
          <w:ilvl w:val="0"/>
          <w:numId w:val="27"/>
        </w:numPr>
        <w:ind w:left="0" w:right="-2"/>
        <w:tabs>
          <w:tab w:val="left" w:pos="992" w:leader="none"/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о проведении внепланового контрольного (надзорного) мероприятия в соответствии со стать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й 60 Федерального закона № 248-ФЗ;</w:t>
      </w:r>
      <w:r/>
    </w:p>
    <w:p>
      <w:pPr>
        <w:pStyle w:val="499"/>
        <w:numPr>
          <w:ilvl w:val="0"/>
          <w:numId w:val="27"/>
        </w:numPr>
        <w:ind w:left="0" w:right="-2"/>
        <w:tabs>
          <w:tab w:val="left" w:pos="992" w:leader="none"/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об объявлении предостережения; </w:t>
      </w:r>
      <w:r/>
    </w:p>
    <w:p>
      <w:pPr>
        <w:pStyle w:val="499"/>
        <w:numPr>
          <w:ilvl w:val="0"/>
          <w:numId w:val="27"/>
        </w:numPr>
        <w:ind w:left="0" w:right="-2"/>
        <w:tabs>
          <w:tab w:val="left" w:pos="992" w:leader="none"/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о выдаче предписания об устранении выявленных нарушений в порядке, предусмотренном пунктом 1 части 2 статьи 90 Федерального закона  № 248-ФЗ;</w:t>
      </w:r>
      <w:r/>
    </w:p>
    <w:p>
      <w:pPr>
        <w:pStyle w:val="499"/>
        <w:numPr>
          <w:ilvl w:val="0"/>
          <w:numId w:val="27"/>
        </w:numPr>
        <w:ind w:left="0" w:right="-2"/>
        <w:tabs>
          <w:tab w:val="left" w:pos="992" w:leader="none"/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при выявлении признаков административного правонарушения принять меры по привлечению виновных лиц к установленной законом ответственности.</w:t>
      </w:r>
      <w:r/>
    </w:p>
    <w:p>
      <w:pPr>
        <w:pStyle w:val="499"/>
        <w:ind w:right="-2"/>
        <w:tabs>
          <w:tab w:val="left" w:pos="1560" w:leader="none"/>
        </w:tabs>
      </w:pPr>
      <w:r/>
      <w:r/>
    </w:p>
    <w:p>
      <w:pPr>
        <w:pStyle w:val="499"/>
        <w:numPr>
          <w:ilvl w:val="1"/>
          <w:numId w:val="2"/>
        </w:numPr>
        <w:ind w:left="0" w:right="-2"/>
        <w:jc w:val="center"/>
        <w:tabs>
          <w:tab w:val="left" w:pos="992" w:leader="none"/>
          <w:tab w:val="left" w:pos="1134" w:leader="none"/>
        </w:tabs>
      </w:pPr>
      <w:r>
        <w:rPr>
          <w:sz w:val="28"/>
          <w:szCs w:val="28"/>
        </w:rPr>
        <w:t xml:space="preserve">Выездное обследование</w:t>
      </w:r>
      <w:r/>
    </w:p>
    <w:p>
      <w:pPr>
        <w:pStyle w:val="499"/>
        <w:ind w:right="-2"/>
        <w:tabs>
          <w:tab w:val="left" w:pos="1560" w:leader="none"/>
        </w:tabs>
      </w:pPr>
      <w:r/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bidi="ar-SA" w:eastAsia="ar-SA"/>
        </w:rPr>
        <w:t xml:space="preserve">Выездное обследование проводится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</w:t>
      </w:r>
      <w:r>
        <w:rPr>
          <w:sz w:val="28"/>
          <w:szCs w:val="28"/>
          <w:shd w:val="clear" w:color="auto" w:fill="FFFFFF"/>
          <w:lang w:bidi="ar-SA" w:eastAsia="ar-SA"/>
        </w:rPr>
        <w:t xml:space="preserve">деятельности гражданина, месту нахождения объекта контроля, указанного в </w:t>
      </w:r>
      <w:hyperlink w:tooltip="Current Document" w:anchor="dst100032" w:history="1">
        <w:r>
          <w:rPr>
            <w:sz w:val="28"/>
            <w:szCs w:val="28"/>
            <w:shd w:val="clear" w:color="auto" w:fill="FFFFFF"/>
            <w:lang w:bidi="ar-SA" w:eastAsia="ar-SA"/>
          </w:rPr>
          <w:t xml:space="preserve">подпункте </w:t>
        </w:r>
        <w:r>
          <w:rPr>
            <w:sz w:val="28"/>
            <w:szCs w:val="28"/>
            <w:shd w:val="clear" w:color="auto" w:fill="FFFFFF"/>
            <w:lang w:bidi="ar-SA" w:eastAsia="ar-SA"/>
          </w:rPr>
          <w:t xml:space="preserve">2</w:t>
        </w:r>
        <w:r>
          <w:rPr>
            <w:sz w:val="28"/>
            <w:szCs w:val="28"/>
            <w:shd w:val="clear" w:color="auto" w:fill="FFFFFF"/>
            <w:lang w:bidi="ar-SA" w:eastAsia="ar-SA"/>
          </w:rPr>
          <w:t xml:space="preserve"> пункта </w:t>
        </w:r>
        <w:r>
          <w:rPr>
            <w:sz w:val="28"/>
            <w:szCs w:val="28"/>
            <w:shd w:val="clear" w:color="auto" w:fill="FFFFFF"/>
            <w:lang w:bidi="ar-SA" w:eastAsia="ar-SA"/>
          </w:rPr>
          <w:t xml:space="preserve">8</w:t>
        </w:r>
      </w:hyperlink>
      <w:r>
        <w:rPr>
          <w:sz w:val="28"/>
          <w:szCs w:val="28"/>
          <w:shd w:val="clear" w:color="auto" w:fill="FFFFFF"/>
          <w:lang w:bidi="ar-SA" w:eastAsia="ar-SA"/>
        </w:rPr>
        <w:t xml:space="preserve"> настоящего </w:t>
      </w:r>
      <w:r>
        <w:rPr>
          <w:color w:val="000000"/>
          <w:sz w:val="28"/>
          <w:szCs w:val="28"/>
          <w:shd w:val="clear" w:color="auto" w:fill="FFFFFF"/>
          <w:lang w:bidi="ar-SA" w:eastAsia="ar-SA"/>
        </w:rPr>
        <w:t xml:space="preserve">Положения.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могут осуществляться следующие контрольные (надзорные) действия: </w:t>
      </w:r>
      <w:r/>
    </w:p>
    <w:p>
      <w:pPr>
        <w:pStyle w:val="499"/>
        <w:numPr>
          <w:ilvl w:val="0"/>
          <w:numId w:val="28"/>
        </w:numPr>
        <w:ind w:right="-2"/>
        <w:tabs>
          <w:tab w:val="left" w:pos="1134" w:leader="none"/>
        </w:tabs>
      </w:pPr>
      <w:r>
        <w:rPr>
          <w:sz w:val="28"/>
          <w:szCs w:val="28"/>
        </w:rPr>
        <w:t xml:space="preserve">осмотр;</w:t>
      </w:r>
      <w:r/>
    </w:p>
    <w:p>
      <w:pPr>
        <w:pStyle w:val="499"/>
        <w:numPr>
          <w:ilvl w:val="0"/>
          <w:numId w:val="28"/>
        </w:numPr>
        <w:ind w:right="-2"/>
        <w:tabs>
          <w:tab w:val="left" w:pos="1134" w:leader="none"/>
        </w:tabs>
      </w:pPr>
      <w:r>
        <w:rPr>
          <w:sz w:val="28"/>
          <w:szCs w:val="28"/>
        </w:rPr>
        <w:t xml:space="preserve">инструментальное обследование (с применением видеозаписи);</w:t>
      </w:r>
      <w:r/>
    </w:p>
    <w:p>
      <w:pPr>
        <w:pStyle w:val="499"/>
        <w:numPr>
          <w:ilvl w:val="0"/>
          <w:numId w:val="28"/>
        </w:numPr>
        <w:ind w:right="-2"/>
        <w:tabs>
          <w:tab w:val="left" w:pos="1134" w:leader="none"/>
        </w:tabs>
      </w:pPr>
      <w:r>
        <w:rPr>
          <w:sz w:val="28"/>
          <w:szCs w:val="28"/>
        </w:rPr>
        <w:t xml:space="preserve">экспертиза.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55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Выездное обследование проводится на основании задания лиц, указанных в пункте 6 настоящего Полож</w:t>
      </w:r>
      <w:r>
        <w:rPr>
          <w:sz w:val="28"/>
          <w:szCs w:val="28"/>
        </w:rPr>
        <w:t xml:space="preserve">ения, включая задания, содержащие</w:t>
      </w:r>
      <w:r>
        <w:rPr>
          <w:sz w:val="28"/>
          <w:szCs w:val="28"/>
        </w:rPr>
        <w:t xml:space="preserve">ся в </w:t>
      </w:r>
      <w:r>
        <w:rPr>
          <w:sz w:val="28"/>
          <w:szCs w:val="28"/>
        </w:rPr>
        <w:t xml:space="preserve">планах работы Управления.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559" w:leader="none"/>
        </w:tabs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Выездное обследование проводится без информирования контролируемого лица.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559" w:leader="none"/>
        </w:tabs>
      </w:pPr>
      <w:r>
        <w:rPr>
          <w:sz w:val="28"/>
          <w:szCs w:val="28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контроля не может превышать 1 (один) рабочий день. </w:t>
      </w:r>
      <w:r/>
    </w:p>
    <w:p>
      <w:pPr>
        <w:pStyle w:val="499"/>
        <w:numPr>
          <w:ilvl w:val="2"/>
          <w:numId w:val="2"/>
        </w:numPr>
        <w:ind w:left="0" w:right="-2" w:firstLine="709"/>
        <w:tabs>
          <w:tab w:val="left" w:pos="992" w:leader="none"/>
          <w:tab w:val="left" w:pos="1134" w:leader="none"/>
          <w:tab w:val="left" w:pos="1559" w:leader="none"/>
        </w:tabs>
      </w:pPr>
      <w:r>
        <w:rPr>
          <w:sz w:val="28"/>
          <w:szCs w:val="28"/>
        </w:rPr>
        <w:t xml:space="preserve">Если в ходе </w:t>
      </w:r>
      <w:r>
        <w:rPr>
          <w:sz w:val="28"/>
          <w:szCs w:val="28"/>
        </w:rPr>
        <w:t xml:space="preserve">выездного обследования</w:t>
      </w:r>
      <w:r>
        <w:rPr>
          <w:sz w:val="28"/>
          <w:szCs w:val="28"/>
        </w:rPr>
        <w:t xml:space="preserve"> выявлены факты причинения вреда (у</w:t>
      </w:r>
      <w:r>
        <w:rPr>
          <w:sz w:val="28"/>
          <w:szCs w:val="28"/>
        </w:rPr>
        <w:t xml:space="preserve">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Управлением могут быть </w:t>
      </w:r>
      <w:r>
        <w:rPr>
          <w:sz w:val="28"/>
          <w:szCs w:val="28"/>
        </w:rPr>
        <w:t xml:space="preserve">приняты следующие решения: </w:t>
      </w:r>
      <w:r/>
    </w:p>
    <w:p>
      <w:pPr>
        <w:pStyle w:val="499"/>
        <w:numPr>
          <w:ilvl w:val="0"/>
          <w:numId w:val="29"/>
        </w:numPr>
        <w:ind w:right="-2"/>
        <w:tabs>
          <w:tab w:val="left" w:pos="1560" w:leader="none"/>
        </w:tabs>
      </w:pPr>
      <w:r>
        <w:rPr>
          <w:sz w:val="28"/>
          <w:szCs w:val="28"/>
        </w:rPr>
        <w:t xml:space="preserve">о проведении внепланового контрольного (надзорного) мероприятия в соответствии со стать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й 60 Федерального закона № 248-ФЗ;</w:t>
      </w:r>
      <w:r/>
    </w:p>
    <w:p>
      <w:pPr>
        <w:pStyle w:val="499"/>
        <w:numPr>
          <w:ilvl w:val="0"/>
          <w:numId w:val="29"/>
        </w:numPr>
        <w:ind w:right="-2"/>
        <w:tabs>
          <w:tab w:val="left" w:pos="1560" w:leader="none"/>
        </w:tabs>
      </w:pPr>
      <w:r>
        <w:rPr>
          <w:sz w:val="28"/>
          <w:szCs w:val="28"/>
        </w:rPr>
        <w:t xml:space="preserve">об объявлении предостережения;</w:t>
      </w:r>
      <w:r/>
    </w:p>
    <w:p>
      <w:pPr>
        <w:pStyle w:val="499"/>
        <w:numPr>
          <w:ilvl w:val="0"/>
          <w:numId w:val="29"/>
        </w:numPr>
        <w:ind w:right="-2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выявлении признаков административного правонарушения принять меры по привлечению виновных лиц к установленной законом ответственности.</w:t>
      </w:r>
      <w:r/>
    </w:p>
    <w:p>
      <w:pPr>
        <w:ind w:right="-2" w:firstLine="709"/>
        <w:jc w:val="both"/>
        <w:tabs>
          <w:tab w:val="left" w:pos="1560" w:leader="none"/>
        </w:tabs>
      </w:pPr>
      <w:r/>
      <w:r/>
    </w:p>
    <w:p>
      <w:pPr>
        <w:ind w:right="-2" w:firstLine="709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</w:t>
      </w:r>
      <w:r>
        <w:rPr>
          <w:b/>
          <w:sz w:val="28"/>
          <w:szCs w:val="28"/>
        </w:rPr>
        <w:tab/>
        <w:t xml:space="preserve">Результаты контрольного (надзорного) мероприятия</w:t>
      </w:r>
      <w:r/>
    </w:p>
    <w:p>
      <w:pPr>
        <w:ind w:right="-2" w:firstLine="709"/>
        <w:jc w:val="center"/>
        <w:widowControl w:val="off"/>
      </w:pPr>
      <w:r/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Результатами контрольного (надзорного)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</w:t>
      </w:r>
      <w:r>
        <w:rPr>
          <w:sz w:val="28"/>
          <w:szCs w:val="28"/>
        </w:rPr>
        <w:t xml:space="preserve">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стать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й 90 Федерального закона № 248-ФЗ.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окончании проведения контрольного (надзорного) мероприятия составляется акт контрольного (надзорного) мероприятия (далее также – акт). В случае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</w:t>
      </w:r>
      <w:r>
        <w:rPr>
          <w:sz w:val="28"/>
          <w:szCs w:val="28"/>
        </w:rPr>
        <w:t xml:space="preserve">о. В случае устранения выявленного нарушения до окончания проведения контрольного (надзорного) мероприятия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Оформление акта производится на месте </w:t>
      </w:r>
      <w:r>
        <w:rPr>
          <w:sz w:val="28"/>
          <w:szCs w:val="28"/>
        </w:rPr>
        <w:t xml:space="preserve">проведения контрольного (надзорного) мероприятия в день окончания проведения такого мероприятия, за исключением, если составление акта по результатам контрольного (надзорного) мероприятия на месте его проведения невозможно по причине проведения экспертизы.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Результаты контрольного (надзорного) мероприятия,</w:t>
      </w:r>
      <w:r>
        <w:rPr>
          <w:sz w:val="28"/>
          <w:szCs w:val="28"/>
        </w:rPr>
        <w:t xml:space="preserve">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 о государственной и иной охраняемой законом тайне.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Документы, оформляемые Управлением при осуществлении государственного контроля (надзора) в области охраны объектов культурного наследия, а также специалистами, экспертами, привлекаемыми к проведению </w:t>
      </w:r>
      <w:r>
        <w:rPr>
          <w:sz w:val="28"/>
          <w:szCs w:val="28"/>
        </w:rPr>
        <w:t xml:space="preserve">контрольных (надзорных) мероприятий, составляются в форме электронного документа и подписываются усиленной квалифицированной электронной подписью.</w:t>
      </w:r>
      <w:r/>
    </w:p>
    <w:p>
      <w:pPr>
        <w:pStyle w:val="499"/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Типовые формы документ</w:t>
      </w:r>
      <w:r>
        <w:rPr>
          <w:sz w:val="28"/>
          <w:szCs w:val="28"/>
        </w:rPr>
        <w:t xml:space="preserve">ов, используемых Управлением,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  <w:r/>
    </w:p>
    <w:p>
      <w:pPr>
        <w:pStyle w:val="499"/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Управление вправе утверждать формы документов, используемых при осуществлении государственного контроля (надзора) в области охраны объе</w:t>
      </w:r>
      <w:r>
        <w:rPr>
          <w:sz w:val="28"/>
          <w:szCs w:val="28"/>
        </w:rPr>
        <w:t xml:space="preserve">ктов культурного наследия, не утверждённые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Информирование контролируемых лиц о совершаемых должностными лицами Управления и иными уполномоченными лицами действиях и принимаемых решениях осуществляется в сроки и порядке, установленном стать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й 21 Федеральн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№ 248-ФЗ.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В случае выявления при проведении контрольного (</w:t>
      </w:r>
      <w:r>
        <w:rPr>
          <w:sz w:val="28"/>
          <w:szCs w:val="28"/>
        </w:rPr>
        <w:t xml:space="preserve">надзорного) мероприятия нарушений обязательных требований контролирующим лицом Управления в пределах полномочий, предусмотренных законодательством Российской Федерации, обязано принять меры, предусмотренные пунктом 2 статьи 90 Федерального закона № 248-ФЗ.</w:t>
      </w:r>
      <w:r/>
    </w:p>
    <w:p>
      <w:pPr>
        <w:pStyle w:val="499"/>
        <w:ind w:left="0" w:right="-2" w:firstLine="0"/>
        <w:jc w:val="center"/>
        <w:tabs>
          <w:tab w:val="left" w:pos="127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499"/>
        <w:ind w:left="0" w:right="-2" w:firstLine="0"/>
        <w:jc w:val="center"/>
        <w:tabs>
          <w:tab w:val="left" w:pos="127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VI. Обжалование решений Управления, </w:t>
      </w:r>
      <w:r>
        <w:rPr>
          <w:b/>
          <w:sz w:val="28"/>
          <w:szCs w:val="28"/>
        </w:rPr>
        <w:br/>
        <w:t xml:space="preserve">действий (бездействия) его должностных лиц</w:t>
      </w:r>
      <w:r/>
    </w:p>
    <w:p>
      <w:pPr>
        <w:pStyle w:val="499"/>
        <w:ind w:left="0" w:right="-2" w:firstLine="0"/>
        <w:jc w:val="center"/>
        <w:tabs>
          <w:tab w:val="left" w:pos="127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Правом на обжалование решений Управления, действий </w:t>
      </w:r>
      <w:r>
        <w:rPr>
          <w:sz w:val="28"/>
          <w:szCs w:val="28"/>
        </w:rPr>
        <w:t xml:space="preserve">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№ 248-ФЗ, в порядке, предусмотренном указанным Федеральным законом.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Жалоба подается контролируемым лицом в Управление в электронном виде с использованием единого портала и (или) регионального</w:t>
      </w:r>
      <w:r>
        <w:rPr>
          <w:sz w:val="28"/>
          <w:szCs w:val="28"/>
        </w:rPr>
        <w:t xml:space="preserve"> портала.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Жалоба должна содержать: </w:t>
      </w:r>
      <w:r/>
    </w:p>
    <w:p>
      <w:pPr>
        <w:pStyle w:val="499"/>
        <w:numPr>
          <w:ilvl w:val="0"/>
          <w:numId w:val="30"/>
        </w:numPr>
        <w:ind w:right="-2"/>
        <w:tabs>
          <w:tab w:val="left" w:pos="1560" w:leader="none"/>
        </w:tabs>
      </w:pPr>
      <w:r>
        <w:rPr>
          <w:sz w:val="28"/>
          <w:szCs w:val="28"/>
        </w:rPr>
        <w:t xml:space="preserve">наименование решения </w:t>
      </w:r>
      <w:r>
        <w:rPr>
          <w:bCs/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, фамилию, имя, отчество (при наличии) должностного лица, решение и (или) действие (бездействие) которых обжалуются; </w:t>
      </w:r>
      <w:r/>
    </w:p>
    <w:p>
      <w:pPr>
        <w:pStyle w:val="499"/>
        <w:numPr>
          <w:ilvl w:val="0"/>
          <w:numId w:val="30"/>
        </w:numPr>
        <w:ind w:right="-2"/>
        <w:tabs>
          <w:tab w:val="left" w:pos="1560" w:leader="none"/>
        </w:tabs>
      </w:pPr>
      <w:r>
        <w:rPr>
          <w:sz w:val="28"/>
          <w:szCs w:val="28"/>
        </w:rPr>
        <w:t xml:space="preserve">фамилию, имя, о</w:t>
      </w:r>
      <w:r>
        <w:rPr>
          <w:sz w:val="28"/>
          <w:szCs w:val="28"/>
        </w:rPr>
        <w:t xml:space="preserve">тчество (при наличии), сведения о месте жительства (месте осуществления деятельности) гражданина, либо наименование организации – контролируемого лица, сведения о месте нахождения этой организации, либо реквизиты доверенности и фамилию, имя, отчество (при </w:t>
      </w:r>
      <w:r>
        <w:rPr>
          <w:sz w:val="28"/>
          <w:szCs w:val="28"/>
        </w:rPr>
        <w:t xml:space="preserve">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 </w:t>
      </w:r>
      <w:r/>
    </w:p>
    <w:p>
      <w:pPr>
        <w:pStyle w:val="499"/>
        <w:numPr>
          <w:ilvl w:val="0"/>
          <w:numId w:val="30"/>
        </w:numPr>
        <w:ind w:right="-2"/>
        <w:tabs>
          <w:tab w:val="left" w:pos="1560" w:leader="none"/>
        </w:tabs>
      </w:pPr>
      <w:r>
        <w:rPr>
          <w:sz w:val="28"/>
          <w:szCs w:val="28"/>
        </w:rPr>
        <w:t xml:space="preserve">сведения об обжалуемых </w:t>
      </w:r>
      <w:r>
        <w:rPr>
          <w:sz w:val="28"/>
          <w:szCs w:val="28"/>
        </w:rPr>
        <w:t xml:space="preserve">решении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 и (или) действии (бездействии) его должностного лица, которые привели или могут привести к нарушению прав контролируемого лица, подавшего жалобу; </w:t>
      </w:r>
      <w:r/>
    </w:p>
    <w:p>
      <w:pPr>
        <w:pStyle w:val="499"/>
        <w:numPr>
          <w:ilvl w:val="0"/>
          <w:numId w:val="30"/>
        </w:numPr>
        <w:ind w:right="-2"/>
        <w:tabs>
          <w:tab w:val="left" w:pos="1560" w:leader="none"/>
        </w:tabs>
      </w:pPr>
      <w:r>
        <w:rPr>
          <w:sz w:val="28"/>
          <w:szCs w:val="28"/>
        </w:rPr>
        <w:t xml:space="preserve">основания и доводы, на основании которых контролируемое лицо </w:t>
      </w:r>
      <w:r>
        <w:rPr>
          <w:sz w:val="28"/>
          <w:szCs w:val="28"/>
        </w:rPr>
        <w:t xml:space="preserve">не согласно</w:t>
      </w:r>
      <w:r>
        <w:rPr>
          <w:sz w:val="28"/>
          <w:szCs w:val="28"/>
        </w:rPr>
        <w:t xml:space="preserve"> с решением </w:t>
      </w:r>
      <w:r>
        <w:rPr>
          <w:bCs/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 </w:t>
      </w:r>
      <w:r/>
    </w:p>
    <w:p>
      <w:pPr>
        <w:pStyle w:val="499"/>
        <w:numPr>
          <w:ilvl w:val="0"/>
          <w:numId w:val="30"/>
        </w:numPr>
        <w:ind w:right="-2"/>
        <w:tabs>
          <w:tab w:val="left" w:pos="1560" w:leader="none"/>
        </w:tabs>
      </w:pPr>
      <w:r>
        <w:rPr>
          <w:sz w:val="28"/>
          <w:szCs w:val="28"/>
        </w:rPr>
        <w:t xml:space="preserve">требования контролируемого лица, подавшего жалобу. 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Жалоба не должна содержать нецензурные либо оскорбительные выражения, угрозы жизни, здоровью и имуществу должностных лиц </w:t>
      </w:r>
      <w:r>
        <w:rPr>
          <w:bCs/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 либо членов их семей.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r>
        <w:rPr>
          <w:sz w:val="28"/>
          <w:szCs w:val="28"/>
        </w:rPr>
        <w:t xml:space="preserve">ии и ау</w:t>
      </w:r>
      <w:r>
        <w:rPr>
          <w:sz w:val="28"/>
          <w:szCs w:val="28"/>
        </w:rPr>
        <w:t xml:space="preserve">тентификации».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</w:t>
      </w:r>
      <w:r>
        <w:rPr>
          <w:sz w:val="28"/>
          <w:szCs w:val="28"/>
        </w:rPr>
        <w:t xml:space="preserve">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направляется </w:t>
      </w:r>
      <w:r>
        <w:rPr>
          <w:bCs/>
          <w:sz w:val="28"/>
          <w:szCs w:val="28"/>
        </w:rPr>
        <w:t xml:space="preserve">Управлением </w:t>
      </w:r>
      <w:r>
        <w:rPr>
          <w:sz w:val="28"/>
          <w:szCs w:val="28"/>
        </w:rPr>
        <w:t xml:space="preserve">лицу, подавшему жалобу, в течение одного рабочего дня с момента принятия решения по жалобе.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Жалоба на решение, действия (бездействие) должностных лиц Управления рассматривается начальником Управления.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Жалоба на решение, действия (бездействие) начальника Управления (</w:t>
      </w:r>
      <w:r>
        <w:rPr>
          <w:sz w:val="28"/>
          <w:szCs w:val="28"/>
        </w:rPr>
        <w:t xml:space="preserve">лица, его замещающего) рассматривается заместителем Губернатора Белгородской области, которым в соответствии с распределением обязанностей между должностными лицами, входящими в структуру Правительства Белгородской области, осуществляется непосредственный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деятельностью и координация работы Управления (лицом, его замещающим).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Жалоба на решение, действия (бездействие) заместителя Губернатора Белгородской области, который в соответствии с распределением обязанностей между должностными лицами, входящими в структуру Правительства Белгородской области, осуществляет непосредственный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деятельностью и координацию работы Управления (лица, его замещающего), рассматривается Губернатором Белгородской области.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Контролируемые лица, права и законные интересы которых, по их </w:t>
      </w:r>
      <w:r>
        <w:rPr>
          <w:sz w:val="28"/>
          <w:szCs w:val="28"/>
        </w:rPr>
        <w:t xml:space="preserve">мнению, были непосредственно нарушены в рамках осуществления государственного контроля (надзора), имеют право на досудебное обжалование:</w:t>
      </w:r>
      <w:r/>
    </w:p>
    <w:p>
      <w:pPr>
        <w:pStyle w:val="499"/>
        <w:numPr>
          <w:ilvl w:val="0"/>
          <w:numId w:val="31"/>
        </w:numPr>
        <w:ind w:right="-2"/>
        <w:tabs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решений о проведении контрольных (надзорных) мероприятий;</w:t>
      </w:r>
      <w:r/>
    </w:p>
    <w:p>
      <w:pPr>
        <w:pStyle w:val="499"/>
        <w:numPr>
          <w:ilvl w:val="0"/>
          <w:numId w:val="31"/>
        </w:numPr>
        <w:ind w:right="-2"/>
        <w:tabs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актов контрольных (надзорных) мероприятий, предписаний об устранении выявленных нарушений;</w:t>
      </w:r>
      <w:r/>
    </w:p>
    <w:p>
      <w:pPr>
        <w:pStyle w:val="499"/>
        <w:numPr>
          <w:ilvl w:val="0"/>
          <w:numId w:val="31"/>
        </w:numPr>
        <w:ind w:right="-2"/>
        <w:tabs>
          <w:tab w:val="left" w:pos="1134" w:leader="none"/>
          <w:tab w:val="left" w:pos="1560" w:leader="none"/>
        </w:tabs>
      </w:pPr>
      <w:r>
        <w:rPr>
          <w:sz w:val="28"/>
          <w:szCs w:val="28"/>
        </w:rPr>
        <w:t xml:space="preserve">действий (бездействия) должностного лица Управления в рамках контрольных (надзорных) мероприятий.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Жалоба на решение, действия (бездействие) должностных лиц Управления может быть подана в течение 30 календарных дней со дня, когда контролируемое лицо узнало или должно было узнать о нарушении своих прав.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Жалоба на предписание Управления может быть подана в течение 10 рабочих дней с момента получения контролируемым лицом предписания.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Управлением.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Жалоба может содержать ходатайство о приостановлении исполнения обжалуемого решения Управления.</w:t>
      </w:r>
      <w:r/>
    </w:p>
    <w:p>
      <w:pPr>
        <w:ind w:right="-2" w:firstLine="709"/>
        <w:jc w:val="both"/>
        <w:tabs>
          <w:tab w:val="left" w:pos="1560" w:leader="none"/>
        </w:tabs>
      </w:pPr>
      <w:r>
        <w:rPr>
          <w:sz w:val="28"/>
          <w:szCs w:val="28"/>
        </w:rPr>
        <w:t xml:space="preserve">Управление в срок не позднее 2 рабочих дней со дня регистрации жалобы принимает решение:</w:t>
      </w:r>
      <w:r/>
    </w:p>
    <w:p>
      <w:pPr>
        <w:ind w:right="-2" w:firstLine="709"/>
        <w:jc w:val="both"/>
        <w:tabs>
          <w:tab w:val="left" w:pos="1560" w:leader="none"/>
        </w:tabs>
      </w:pPr>
      <w:r>
        <w:rPr>
          <w:sz w:val="28"/>
          <w:szCs w:val="28"/>
        </w:rPr>
        <w:t xml:space="preserve">о приостановлении исполнения обжалуемого решения Управления;</w:t>
      </w:r>
      <w:r/>
    </w:p>
    <w:p>
      <w:pPr>
        <w:ind w:right="-2" w:firstLine="709"/>
        <w:jc w:val="both"/>
        <w:tabs>
          <w:tab w:val="left" w:pos="1560" w:leader="none"/>
        </w:tabs>
      </w:pPr>
      <w:r>
        <w:rPr>
          <w:sz w:val="28"/>
          <w:szCs w:val="28"/>
        </w:rPr>
        <w:t xml:space="preserve">об отказе в приостановлении исполнения обжалуемого решения Управления.</w:t>
      </w:r>
      <w:r/>
    </w:p>
    <w:p>
      <w:pPr>
        <w:ind w:right="-2" w:firstLine="709"/>
        <w:jc w:val="both"/>
        <w:tabs>
          <w:tab w:val="left" w:pos="1560" w:leader="none"/>
        </w:tabs>
      </w:pPr>
      <w:r>
        <w:rPr>
          <w:sz w:val="28"/>
          <w:szCs w:val="28"/>
        </w:rPr>
        <w:t xml:space="preserve">Информация о решении, указанном в настоящем пункте, направляется лицу, подавшему жалобу, в течение одного рабочего дня со дня принятия решения.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По итогам рассмотрения жалобы Управление принимает одно из следующих решений:</w:t>
      </w:r>
      <w:r/>
    </w:p>
    <w:p>
      <w:pPr>
        <w:pStyle w:val="499"/>
        <w:numPr>
          <w:ilvl w:val="0"/>
          <w:numId w:val="32"/>
        </w:numPr>
        <w:ind w:right="-2"/>
        <w:tabs>
          <w:tab w:val="left" w:pos="1560" w:leader="none"/>
        </w:tabs>
      </w:pPr>
      <w:r>
        <w:rPr>
          <w:sz w:val="28"/>
          <w:szCs w:val="28"/>
        </w:rPr>
        <w:t xml:space="preserve">оставляет жалобу без удовлетворения;</w:t>
      </w:r>
      <w:r/>
    </w:p>
    <w:p>
      <w:pPr>
        <w:pStyle w:val="499"/>
        <w:numPr>
          <w:ilvl w:val="0"/>
          <w:numId w:val="32"/>
        </w:numPr>
        <w:ind w:right="-2"/>
        <w:tabs>
          <w:tab w:val="left" w:pos="1560" w:leader="none"/>
        </w:tabs>
      </w:pPr>
      <w:r>
        <w:rPr>
          <w:sz w:val="28"/>
          <w:szCs w:val="28"/>
        </w:rPr>
        <w:t xml:space="preserve">отменяет обжалуемое решение полностью или частично;</w:t>
      </w:r>
      <w:r/>
    </w:p>
    <w:p>
      <w:pPr>
        <w:pStyle w:val="499"/>
        <w:numPr>
          <w:ilvl w:val="0"/>
          <w:numId w:val="32"/>
        </w:numPr>
        <w:ind w:right="-2"/>
        <w:tabs>
          <w:tab w:val="left" w:pos="1560" w:leader="none"/>
        </w:tabs>
      </w:pPr>
      <w:r>
        <w:rPr>
          <w:sz w:val="28"/>
          <w:szCs w:val="28"/>
        </w:rPr>
        <w:t xml:space="preserve">отменяет обжалуемое решение полностью и принимает новое решение;</w:t>
      </w:r>
      <w:r/>
    </w:p>
    <w:p>
      <w:pPr>
        <w:pStyle w:val="499"/>
        <w:numPr>
          <w:ilvl w:val="0"/>
          <w:numId w:val="32"/>
        </w:numPr>
        <w:ind w:right="-2"/>
        <w:tabs>
          <w:tab w:val="left" w:pos="1560" w:leader="none"/>
        </w:tabs>
      </w:pPr>
      <w:r>
        <w:rPr>
          <w:sz w:val="28"/>
          <w:szCs w:val="28"/>
        </w:rPr>
        <w:t xml:space="preserve">признает обжалуемые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  <w:r/>
    </w:p>
    <w:p>
      <w:pPr>
        <w:pStyle w:val="499"/>
        <w:numPr>
          <w:ilvl w:val="0"/>
          <w:numId w:val="2"/>
        </w:numPr>
        <w:ind w:left="0" w:right="-2" w:firstLine="709"/>
        <w:tabs>
          <w:tab w:val="left" w:pos="1276" w:leader="none"/>
        </w:tabs>
      </w:pPr>
      <w:r>
        <w:rPr>
          <w:sz w:val="28"/>
          <w:szCs w:val="28"/>
        </w:rPr>
        <w:t xml:space="preserve">Решение Управления, соде</w:t>
      </w:r>
      <w:r>
        <w:rPr>
          <w:sz w:val="28"/>
          <w:szCs w:val="28"/>
        </w:rPr>
        <w:t xml:space="preserve">ржащее обоснование принятого решения, срок и порядок его исполнения, размещается в личном кабинете контролируемого лица на едином портале и (или) региональном портале государственных и муниципальных услуг не позднее одного рабочего дня со дня его принятия.</w:t>
      </w:r>
      <w:r/>
    </w:p>
    <w:p>
      <w:pPr>
        <w:ind w:left="709" w:right="-2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/>
        <w:jc w:val="both"/>
        <w:tabs>
          <w:tab w:val="left" w:pos="1276" w:leader="none"/>
        </w:tabs>
        <w:rPr>
          <w:sz w:val="28"/>
          <w:szCs w:val="28"/>
        </w:rPr>
        <w:sectPr>
          <w:footnotePr/>
          <w:type w:val="nextPage"/>
          <w:pgSz w:w="11905" w:h="16837" w:orient="portrait"/>
          <w:pgMar w:top="1134" w:right="567" w:bottom="1134" w:left="1701" w:header="709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42"/>
        <w:gridCol w:w="6628"/>
      </w:tblGrid>
      <w:tr>
        <w:trPr>
          <w:trHeight w:val="2706"/>
        </w:trPr>
        <w:tc>
          <w:tcPr>
            <w:shd w:val="clear" w:color="auto" w:fill="FFFFFF"/>
            <w:tcW w:w="2942" w:type="dxa"/>
            <w:textDirection w:val="lrTb"/>
            <w:noWrap w:val="false"/>
          </w:tcPr>
          <w:p>
            <w:pPr>
              <w:ind w:right="-2"/>
            </w:pPr>
            <w:r/>
            <w:r/>
          </w:p>
        </w:tc>
        <w:tc>
          <w:tcPr>
            <w:shd w:val="clear" w:color="auto" w:fill="FFFFFF"/>
            <w:tcW w:w="6628" w:type="dxa"/>
            <w:textDirection w:val="lrTb"/>
            <w:noWrap w:val="false"/>
          </w:tcPr>
          <w:p>
            <w:pPr>
              <w:pStyle w:val="666"/>
              <w:ind w:right="-2"/>
              <w:jc w:val="center"/>
              <w:rPr>
                <w:rFonts w:ascii="Times New Roman" w:hAnsi="Times New Roman"/>
              </w:rPr>
            </w:pPr>
            <w:r/>
            <w:bookmarkStart w:id="2" w:name="_GoBack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</w:t>
            </w:r>
            <w:bookmarkEnd w:id="2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 № 1</w:t>
            </w:r>
            <w:r/>
          </w:p>
          <w:p>
            <w:pPr>
              <w:ind w:right="-2"/>
              <w:jc w:val="center"/>
              <w:tabs>
                <w:tab w:val="left" w:pos="0" w:leader="none"/>
              </w:tabs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к Положению о региональном государственном контроле (надзоре) за</w:t>
            </w:r>
            <w:r>
              <w:rPr>
                <w:b/>
                <w:sz w:val="28"/>
                <w:szCs w:val="28"/>
              </w:rPr>
              <w:t xml:space="preserve">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</w:t>
            </w:r>
            <w:r/>
          </w:p>
        </w:tc>
      </w:tr>
    </w:tbl>
    <w:p>
      <w:pPr>
        <w:ind w:right="-2"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</w:r>
      <w:r/>
    </w:p>
    <w:p>
      <w:pPr>
        <w:ind w:right="-2"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</w:r>
      <w:r/>
    </w:p>
    <w:p>
      <w:pPr>
        <w:jc w:val="center"/>
        <w:tabs>
          <w:tab w:val="left" w:pos="156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</w:t>
      </w:r>
      <w:r/>
    </w:p>
    <w:p>
      <w:pPr>
        <w:jc w:val="center"/>
        <w:tabs>
          <w:tab w:val="left" w:pos="156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отнесения объектов регионального государственного контроля (надзора) в области охраны объектов культурного наследия к категориям риска</w:t>
      </w:r>
      <w:r/>
    </w:p>
    <w:p>
      <w:pPr>
        <w:jc w:val="both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Управление</w:t>
      </w:r>
      <w:r>
        <w:rPr>
          <w:sz w:val="28"/>
          <w:szCs w:val="28"/>
        </w:rPr>
        <w:t xml:space="preserve"> государственной охране объектов культурного наследия</w:t>
      </w:r>
      <w:r>
        <w:rPr>
          <w:sz w:val="28"/>
          <w:szCs w:val="28"/>
        </w:rPr>
        <w:t xml:space="preserve"> Белгородской области</w:t>
      </w:r>
      <w:r>
        <w:rPr>
          <w:sz w:val="28"/>
          <w:szCs w:val="28"/>
        </w:rPr>
        <w:t xml:space="preserve"> в целях осуществл</w:t>
      </w:r>
      <w:r>
        <w:rPr>
          <w:sz w:val="28"/>
          <w:szCs w:val="28"/>
        </w:rPr>
        <w:t xml:space="preserve">ения регионального государственного контроля (надзора) в области охраны объектов культурного наследия относит объекты контроля к одной из категорий риска причинения вреда (ущерба) (далее соответственно – государственный контроль (надзор), категории риска).</w:t>
      </w:r>
      <w:r/>
    </w:p>
    <w:p>
      <w:pPr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критериев риска учитываются оценка тяжести </w:t>
      </w:r>
      <w:r>
        <w:rPr>
          <w:sz w:val="28"/>
          <w:szCs w:val="28"/>
        </w:rPr>
        <w:t xml:space="preserve">вреда (ущерба) охраняемым законом ценностям, а также потенциальный риск наступления негативных событий, связанных с неисполнением контролируемым лицом обязательных требований в области охраны объектов культурного наследия (далее – обязательные требования).</w:t>
      </w:r>
      <w:r/>
    </w:p>
    <w:p>
      <w:pPr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Основными критериями оценки являются задачи государственной охраны объектов культурного наследия, установленные Федеральным законом от 25</w:t>
      </w:r>
      <w:r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73-ФЗ «Об объектах культурного наследия (памятниках истории и культуры) народов Российской Федерации».</w:t>
      </w:r>
      <w:r/>
    </w:p>
    <w:p>
      <w:pPr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Объекты контроля могут быть отнесены к следующим категориям риска причинения вреда (ущерба) охраняемым законом ценностям:</w:t>
      </w:r>
      <w:r/>
    </w:p>
    <w:p>
      <w:pPr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категория высокого риска;</w:t>
      </w:r>
      <w:r/>
    </w:p>
    <w:p>
      <w:pPr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категория значительного риска;</w:t>
      </w:r>
      <w:r/>
    </w:p>
    <w:p>
      <w:pPr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категория низкого риска.</w:t>
      </w:r>
      <w:r/>
    </w:p>
    <w:p>
      <w:pPr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 учетом т</w:t>
      </w:r>
      <w:r>
        <w:rPr>
          <w:sz w:val="28"/>
          <w:szCs w:val="28"/>
        </w:rPr>
        <w:t xml:space="preserve">яжести потенциальных негативных последствий возможного несоблюдения юридическими лицами и гражданами обязательных требований, деятельность, подлежащая федеральному государственному контролю (надзору), разделяется на группы тяжести (далее – группы тяжести).</w:t>
      </w:r>
      <w:r/>
    </w:p>
    <w:p>
      <w:pPr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К группе тяжести «А» относится деятельность, действия (бездействие) контролируемых лиц по содержанию, сохранению, использованию, попул</w:t>
      </w:r>
      <w:r>
        <w:rPr>
          <w:sz w:val="28"/>
          <w:szCs w:val="28"/>
        </w:rPr>
        <w:t xml:space="preserve">яризации и государственной охране объектов культурного наследия, в собственности, оперативном управлении или пользовании которых находятся объекты культурного наследия регионального значения, объекты культурного наследия местного (муниципального) значения.</w:t>
      </w:r>
      <w:r/>
    </w:p>
    <w:p>
      <w:pPr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К группе тяжести «Б» относится деятельность, действия (бездействие) контролируемых лиц, в собственности, оперативном управлении или пользовании которых находятся выявленные объекты культурного наследия.</w:t>
      </w:r>
      <w:r/>
    </w:p>
    <w:p>
      <w:pPr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К группе тяжести «В» относится деятельность контролируемых лиц, в собственности, оперативном управлении или пользовании которых находятся объекты, обладающие признаками объектов культурного наследия.</w:t>
      </w:r>
      <w:r/>
    </w:p>
    <w:p>
      <w:pPr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С учетом оценки вероятности несоблюдения контролируемыми лицами обязательных требований деятельность, подлежащая государственному контролю (надзору), разделяется на группы вероятности «1», «2» и «3» (далее – группы вероятности).</w:t>
      </w:r>
      <w:r/>
    </w:p>
    <w:p>
      <w:pPr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/>
      <w:bookmarkStart w:id="3" w:name="Par17"/>
      <w:r/>
      <w:bookmarkEnd w:id="3"/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К группе вероятности «1</w:t>
      </w:r>
      <w:r>
        <w:rPr>
          <w:sz w:val="28"/>
          <w:szCs w:val="28"/>
        </w:rPr>
        <w:t xml:space="preserve">» относится деятельность контролируемых лиц при наличии вступившего в законную силу в течение 5 предшествующих календарных лет обвинительного приговора суда по уголовным преступлениям, ответственность за которые предусмотрена статьями 243-243.4 Уголовного </w:t>
      </w:r>
      <w:r>
        <w:rPr>
          <w:sz w:val="28"/>
          <w:szCs w:val="28"/>
        </w:rPr>
        <w:t xml:space="preserve">кодекса Российской Федерации, объектом преступлений в которых выступал принадлежащий им на праве собственности, оперативного управления или пользования объект культурного наследия регионального значения, объект культурного наследия местного (муниципального</w:t>
      </w:r>
      <w:r>
        <w:rPr>
          <w:sz w:val="28"/>
          <w:szCs w:val="28"/>
        </w:rPr>
        <w:t xml:space="preserve">) значения.</w:t>
      </w:r>
      <w:r/>
    </w:p>
    <w:p>
      <w:pPr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/>
      <w:bookmarkStart w:id="4" w:name="Par18"/>
      <w:r/>
      <w:bookmarkEnd w:id="4"/>
      <w:r>
        <w:rPr>
          <w:sz w:val="28"/>
          <w:szCs w:val="28"/>
        </w:rPr>
        <w:t xml:space="preserve">8. К группе вероятности «2» относится деятельность, действия (бездейств</w:t>
      </w:r>
      <w:r>
        <w:rPr>
          <w:sz w:val="28"/>
          <w:szCs w:val="28"/>
        </w:rPr>
        <w:t xml:space="preserve">ие) контролируемых лиц, у которых в течение 5 предшествующих календарных лет при проведении контрольного (надзорного) мероприятия были выявлены нарушения обязательных требований, не повлекшие привлечения их к уголовной или административной ответственности.</w:t>
      </w:r>
      <w:r/>
    </w:p>
    <w:p>
      <w:pPr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К группе вероятности «3» относится деятельность контролируемых лиц при отсутствии информации, указанной в пунктах 7 и 8 настоящего документа.</w:t>
      </w:r>
      <w:r/>
    </w:p>
    <w:p>
      <w:pPr>
        <w:ind w:firstLine="709"/>
        <w:jc w:val="both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10. Отнесение деятельности контролируемого лица к определенной категории риска основывается на соотнесении группы тяжести и группы вероятности согласно таблице:</w:t>
      </w:r>
      <w:r/>
    </w:p>
    <w:tbl>
      <w:tblPr>
        <w:tblW w:w="5001" w:type="pct"/>
        <w:jc w:val="center"/>
        <w:tblInd w:w="-1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13"/>
        <w:gridCol w:w="2822"/>
        <w:gridCol w:w="3528"/>
      </w:tblGrid>
      <w:tr>
        <w:trPr>
          <w:jc w:val="center"/>
          <w:trHeight w:val="284"/>
        </w:trPr>
        <w:tc>
          <w:tcPr>
            <w:tcW w:w="1748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риска</w:t>
            </w:r>
            <w:r/>
          </w:p>
        </w:tc>
        <w:tc>
          <w:tcPr>
            <w:tcW w:w="1445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тяжести</w:t>
            </w:r>
            <w:r/>
          </w:p>
        </w:tc>
        <w:tc>
          <w:tcPr>
            <w:tcW w:w="1807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вероятности</w:t>
            </w:r>
            <w:r/>
          </w:p>
        </w:tc>
      </w:tr>
      <w:tr>
        <w:trPr>
          <w:jc w:val="center"/>
          <w:trHeight w:val="306"/>
        </w:trPr>
        <w:tc>
          <w:tcPr>
            <w:tcW w:w="174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риск</w:t>
            </w:r>
            <w:r/>
          </w:p>
        </w:tc>
        <w:tc>
          <w:tcPr>
            <w:tcW w:w="1445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</w:t>
            </w:r>
            <w:r/>
          </w:p>
        </w:tc>
        <w:tc>
          <w:tcPr>
            <w:tcW w:w="1807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>
          <w:jc w:val="center"/>
          <w:trHeight w:val="200"/>
        </w:trPr>
        <w:tc>
          <w:tcPr>
            <w:tcW w:w="1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445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/>
          </w:p>
        </w:tc>
        <w:tc>
          <w:tcPr>
            <w:tcW w:w="1807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>
          <w:jc w:val="center"/>
        </w:trPr>
        <w:tc>
          <w:tcPr>
            <w:tcW w:w="174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Значительный риск</w:t>
            </w:r>
            <w:r/>
          </w:p>
        </w:tc>
        <w:tc>
          <w:tcPr>
            <w:tcW w:w="1445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</w:t>
            </w:r>
            <w:r/>
          </w:p>
        </w:tc>
        <w:tc>
          <w:tcPr>
            <w:tcW w:w="1807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</w:tr>
      <w:tr>
        <w:trPr>
          <w:jc w:val="center"/>
        </w:trPr>
        <w:tc>
          <w:tcPr>
            <w:tcW w:w="1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445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/>
          </w:p>
        </w:tc>
        <w:tc>
          <w:tcPr>
            <w:tcW w:w="1807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</w:tr>
      <w:tr>
        <w:trPr>
          <w:jc w:val="center"/>
        </w:trPr>
        <w:tc>
          <w:tcPr>
            <w:tcW w:w="1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445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/>
          </w:p>
        </w:tc>
        <w:tc>
          <w:tcPr>
            <w:tcW w:w="1807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>
          <w:jc w:val="center"/>
        </w:trPr>
        <w:tc>
          <w:tcPr>
            <w:tcW w:w="1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445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/>
          </w:p>
        </w:tc>
        <w:tc>
          <w:tcPr>
            <w:tcW w:w="1807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</w:tr>
      <w:tr>
        <w:trPr>
          <w:jc w:val="center"/>
        </w:trPr>
        <w:tc>
          <w:tcPr>
            <w:tcW w:w="174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риск</w:t>
            </w:r>
            <w:r/>
          </w:p>
        </w:tc>
        <w:tc>
          <w:tcPr>
            <w:tcW w:w="1445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</w:t>
            </w:r>
            <w:r/>
          </w:p>
        </w:tc>
        <w:tc>
          <w:tcPr>
            <w:tcW w:w="1807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</w:tr>
      <w:tr>
        <w:trPr>
          <w:jc w:val="center"/>
        </w:trPr>
        <w:tc>
          <w:tcPr>
            <w:tcW w:w="1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445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/>
          </w:p>
        </w:tc>
        <w:tc>
          <w:tcPr>
            <w:tcW w:w="1807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</w:tr>
      <w:tr>
        <w:trPr>
          <w:jc w:val="center"/>
        </w:trPr>
        <w:tc>
          <w:tcPr>
            <w:tcW w:w="1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445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/>
          </w:p>
        </w:tc>
        <w:tc>
          <w:tcPr>
            <w:tcW w:w="1807" w:type="pct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</w:tr>
    </w:tbl>
    <w:p>
      <w:pPr>
        <w:ind w:right="-2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  <w:r/>
    </w:p>
    <w:sectPr>
      <w:footnotePr/>
      <w:type w:val="nextPage"/>
      <w:pgSz w:w="11905" w:h="16837" w:orient="portrait"/>
      <w:pgMar w:top="1134" w:right="567" w:bottom="1134" w:left="1701" w:header="720" w:footer="720" w:gutter="0"/>
      <w:cols w:num="1" w:sep="0" w:space="720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 CYR">
    <w:panose1 w:val="02000603000000000000"/>
  </w:font>
  <w:font w:name="Impact">
    <w:panose1 w:val="020B0706030804020204"/>
  </w:font>
  <w:font w:name="Verdana">
    <w:panose1 w:val="020B0606030504020204"/>
  </w:font>
  <w:font w:name="Tahoma">
    <w:panose1 w:val="020B0606030504020204"/>
  </w:font>
  <w:font w:name="Courier New">
    <w:panose1 w:val="02070409020205020404"/>
  </w:font>
  <w:font w:name="Mangal">
    <w:panose1 w:val="0204050305040603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  <w:rPr>
        <w:rStyle w:val="670"/>
      </w:rPr>
      <w:framePr w:wrap="around" w:vAnchor="text" w:hAnchor="margin" w:xAlign="center" w:y="1"/>
    </w:pPr>
    <w:r>
      <w:rPr>
        <w:rStyle w:val="670"/>
      </w:rPr>
      <w:fldChar w:fldCharType="begin"/>
    </w:r>
    <w:r>
      <w:rPr>
        <w:rStyle w:val="670"/>
      </w:rPr>
      <w:instrText xml:space="preserve">PAGE  </w:instrText>
    </w:r>
    <w:r>
      <w:rPr>
        <w:rStyle w:val="670"/>
      </w:rPr>
      <w:fldChar w:fldCharType="separate"/>
    </w:r>
    <w:r>
      <w:rPr>
        <w:rStyle w:val="670"/>
      </w:rPr>
      <w:t xml:space="preserve">28</w:t>
    </w:r>
    <w:r>
      <w:rPr>
        <w:rStyle w:val="670"/>
      </w:rPr>
      <w:fldChar w:fldCharType="end"/>
    </w:r>
    <w:r/>
  </w:p>
  <w:p>
    <w:pPr>
      <w:pStyle w:val="66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9"/>
      <w:rPr>
        <w:rStyle w:val="670"/>
      </w:rPr>
      <w:framePr w:wrap="around" w:vAnchor="text" w:hAnchor="margin" w:xAlign="center" w:y="1"/>
    </w:pPr>
    <w:r>
      <w:rPr>
        <w:rStyle w:val="670"/>
      </w:rPr>
      <w:fldChar w:fldCharType="begin"/>
    </w:r>
    <w:r>
      <w:rPr>
        <w:rStyle w:val="670"/>
      </w:rPr>
      <w:instrText xml:space="preserve">PAGE  </w:instrText>
    </w:r>
    <w:r>
      <w:rPr>
        <w:rStyle w:val="670"/>
      </w:rPr>
      <w:fldChar w:fldCharType="end"/>
    </w:r>
    <w:r/>
  </w:p>
  <w:p>
    <w:pPr>
      <w:pStyle w:val="6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70" w:firstLine="0"/>
      </w:pPr>
      <w:rPr>
        <w:rFonts w:hint="default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70" w:firstLine="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70" w:firstLine="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70" w:firstLine="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70" w:firstLine="539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70" w:firstLine="539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space"/>
      <w:lvlText w:val="–"/>
      <w:lvlJc w:val="left"/>
      <w:pPr>
        <w:ind w:left="170" w:firstLine="0"/>
      </w:pPr>
      <w:rPr>
        <w:rFonts w:ascii="Arial" w:hAnsi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70" w:firstLine="539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49" w:hanging="114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0" w:firstLine="539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–"/>
      <w:lvlJc w:val="left"/>
      <w:pPr>
        <w:ind w:left="170" w:firstLine="0"/>
      </w:pPr>
      <w:rPr>
        <w:rFonts w:ascii="Arial" w:hAnsi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70" w:firstLine="0"/>
      </w:pPr>
      <w:rPr>
        <w:rFonts w:ascii="Times New Roman" w:hAnsi="Times New Roman" w:hint="default"/>
        <w:b w:val="false"/>
        <w:i w:val="false"/>
        <w:sz w:val="28"/>
      </w:rPr>
    </w:lvl>
    <w:lvl w:ilvl="1">
      <w:start w:val="1"/>
      <w:numFmt w:val="decimal"/>
      <w:isLgl w:val="false"/>
      <w:suff w:val="space"/>
      <w:lvlText w:val="%1.%2."/>
      <w:lvlJc w:val="left"/>
      <w:pPr>
        <w:ind w:left="170" w:firstLine="0"/>
      </w:pPr>
      <w:rPr>
        <w:rFonts w:hint="default"/>
        <w:sz w:val="28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170" w:firstLine="0"/>
      </w:pPr>
      <w:rPr>
        <w:rFonts w:hint="default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7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70" w:firstLine="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4" w:hanging="705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1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97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70" w:firstLine="539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70" w:firstLine="539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70" w:firstLine="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70" w:firstLine="539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70" w:firstLine="539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170" w:firstLine="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70" w:firstLine="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70" w:firstLine="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space"/>
      <w:lvlText w:val="–"/>
      <w:lvlJc w:val="left"/>
      <w:pPr>
        <w:ind w:left="1417" w:hanging="360"/>
      </w:pPr>
      <w:rPr>
        <w:rFonts w:ascii="Arial" w:hAnsi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70" w:firstLine="539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70" w:firstLine="539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70" w:firstLine="539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70" w:firstLine="539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70" w:firstLine="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none"/>
      <w:pStyle w:val="478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space"/>
      <w:lvlText w:val="%1)"/>
      <w:lvlJc w:val="right"/>
      <w:pPr>
        <w:ind w:left="171" w:firstLine="539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25" w:hanging="465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702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422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142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862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82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302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022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42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462" w:hanging="360"/>
      </w:pPr>
      <w:rPr>
        <w:rFonts w:ascii="Wingdings" w:hAnsi="Wingdings" w:cs="Wingdings" w:eastAsia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num w:numId="1">
    <w:abstractNumId w:val="29"/>
  </w:num>
  <w:num w:numId="2">
    <w:abstractNumId w:val="12"/>
  </w:num>
  <w:num w:numId="3">
    <w:abstractNumId w:val="0"/>
  </w:num>
  <w:num w:numId="4">
    <w:abstractNumId w:val="6"/>
  </w:num>
  <w:num w:numId="5">
    <w:abstractNumId w:val="11"/>
  </w:num>
  <w:num w:numId="6">
    <w:abstractNumId w:val="30"/>
  </w:num>
  <w:num w:numId="7">
    <w:abstractNumId w:val="13"/>
  </w:num>
  <w:num w:numId="8">
    <w:abstractNumId w:val="23"/>
  </w:num>
  <w:num w:numId="9">
    <w:abstractNumId w:val="5"/>
  </w:num>
  <w:num w:numId="10">
    <w:abstractNumId w:val="31"/>
  </w:num>
  <w:num w:numId="11">
    <w:abstractNumId w:val="20"/>
  </w:num>
  <w:num w:numId="12">
    <w:abstractNumId w:val="2"/>
  </w:num>
  <w:num w:numId="13">
    <w:abstractNumId w:val="3"/>
  </w:num>
  <w:num w:numId="14">
    <w:abstractNumId w:val="7"/>
  </w:num>
  <w:num w:numId="15">
    <w:abstractNumId w:val="10"/>
  </w:num>
  <w:num w:numId="16">
    <w:abstractNumId w:val="21"/>
  </w:num>
  <w:num w:numId="17">
    <w:abstractNumId w:val="1"/>
  </w:num>
  <w:num w:numId="18">
    <w:abstractNumId w:val="8"/>
  </w:num>
  <w:num w:numId="19">
    <w:abstractNumId w:val="17"/>
  </w:num>
  <w:num w:numId="20">
    <w:abstractNumId w:val="28"/>
  </w:num>
  <w:num w:numId="21">
    <w:abstractNumId w:val="14"/>
  </w:num>
  <w:num w:numId="22">
    <w:abstractNumId w:val="22"/>
  </w:num>
  <w:num w:numId="23">
    <w:abstractNumId w:val="4"/>
  </w:num>
  <w:num w:numId="24">
    <w:abstractNumId w:val="18"/>
  </w:num>
  <w:num w:numId="25">
    <w:abstractNumId w:val="15"/>
  </w:num>
  <w:num w:numId="26">
    <w:abstractNumId w:val="24"/>
  </w:num>
  <w:num w:numId="27">
    <w:abstractNumId w:val="27"/>
  </w:num>
  <w:num w:numId="28">
    <w:abstractNumId w:val="25"/>
  </w:num>
  <w:num w:numId="29">
    <w:abstractNumId w:val="19"/>
  </w:num>
  <w:num w:numId="30">
    <w:abstractNumId w:val="26"/>
  </w:num>
  <w:num w:numId="31">
    <w:abstractNumId w:val="9"/>
  </w:num>
  <w:num w:numId="32">
    <w:abstractNumId w:val="16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0">
    <w:name w:val="Heading 1 Char"/>
    <w:basedOn w:val="487"/>
    <w:link w:val="478"/>
    <w:uiPriority w:val="9"/>
    <w:rPr>
      <w:rFonts w:ascii="Arial" w:hAnsi="Arial" w:cs="Arial" w:eastAsia="Arial"/>
      <w:sz w:val="40"/>
      <w:szCs w:val="40"/>
    </w:rPr>
  </w:style>
  <w:style w:type="character" w:styleId="461">
    <w:name w:val="Heading 2 Char"/>
    <w:basedOn w:val="487"/>
    <w:link w:val="479"/>
    <w:uiPriority w:val="9"/>
    <w:rPr>
      <w:rFonts w:ascii="Arial" w:hAnsi="Arial" w:cs="Arial" w:eastAsia="Arial"/>
      <w:sz w:val="34"/>
    </w:rPr>
  </w:style>
  <w:style w:type="character" w:styleId="462">
    <w:name w:val="Heading 3 Char"/>
    <w:basedOn w:val="487"/>
    <w:link w:val="480"/>
    <w:uiPriority w:val="9"/>
    <w:rPr>
      <w:rFonts w:ascii="Arial" w:hAnsi="Arial" w:cs="Arial" w:eastAsia="Arial"/>
      <w:sz w:val="30"/>
      <w:szCs w:val="30"/>
    </w:rPr>
  </w:style>
  <w:style w:type="character" w:styleId="463">
    <w:name w:val="Heading 4 Char"/>
    <w:basedOn w:val="487"/>
    <w:link w:val="481"/>
    <w:uiPriority w:val="9"/>
    <w:rPr>
      <w:rFonts w:ascii="Arial" w:hAnsi="Arial" w:cs="Arial" w:eastAsia="Arial"/>
      <w:b/>
      <w:bCs/>
      <w:sz w:val="26"/>
      <w:szCs w:val="26"/>
    </w:rPr>
  </w:style>
  <w:style w:type="character" w:styleId="464">
    <w:name w:val="Heading 5 Char"/>
    <w:basedOn w:val="487"/>
    <w:link w:val="482"/>
    <w:uiPriority w:val="9"/>
    <w:rPr>
      <w:rFonts w:ascii="Arial" w:hAnsi="Arial" w:cs="Arial" w:eastAsia="Arial"/>
      <w:b/>
      <w:bCs/>
      <w:sz w:val="24"/>
      <w:szCs w:val="24"/>
    </w:rPr>
  </w:style>
  <w:style w:type="character" w:styleId="465">
    <w:name w:val="Heading 6 Char"/>
    <w:basedOn w:val="487"/>
    <w:link w:val="483"/>
    <w:uiPriority w:val="9"/>
    <w:rPr>
      <w:rFonts w:ascii="Arial" w:hAnsi="Arial" w:cs="Arial" w:eastAsia="Arial"/>
      <w:b/>
      <w:bCs/>
      <w:sz w:val="22"/>
      <w:szCs w:val="22"/>
    </w:rPr>
  </w:style>
  <w:style w:type="character" w:styleId="466">
    <w:name w:val="Heading 7 Char"/>
    <w:basedOn w:val="487"/>
    <w:link w:val="4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67">
    <w:name w:val="Heading 8 Char"/>
    <w:basedOn w:val="487"/>
    <w:link w:val="485"/>
    <w:uiPriority w:val="9"/>
    <w:rPr>
      <w:rFonts w:ascii="Arial" w:hAnsi="Arial" w:cs="Arial" w:eastAsia="Arial"/>
      <w:i/>
      <w:iCs/>
      <w:sz w:val="22"/>
      <w:szCs w:val="22"/>
    </w:rPr>
  </w:style>
  <w:style w:type="character" w:styleId="468">
    <w:name w:val="Heading 9 Char"/>
    <w:basedOn w:val="487"/>
    <w:link w:val="486"/>
    <w:uiPriority w:val="9"/>
    <w:rPr>
      <w:rFonts w:ascii="Arial" w:hAnsi="Arial" w:cs="Arial" w:eastAsia="Arial"/>
      <w:i/>
      <w:iCs/>
      <w:sz w:val="21"/>
      <w:szCs w:val="21"/>
    </w:rPr>
  </w:style>
  <w:style w:type="character" w:styleId="469">
    <w:name w:val="Title Char"/>
    <w:basedOn w:val="487"/>
    <w:link w:val="673"/>
    <w:uiPriority w:val="10"/>
    <w:rPr>
      <w:sz w:val="48"/>
      <w:szCs w:val="48"/>
    </w:rPr>
  </w:style>
  <w:style w:type="character" w:styleId="470">
    <w:name w:val="Subtitle Char"/>
    <w:basedOn w:val="487"/>
    <w:link w:val="674"/>
    <w:uiPriority w:val="11"/>
    <w:rPr>
      <w:sz w:val="24"/>
      <w:szCs w:val="24"/>
    </w:rPr>
  </w:style>
  <w:style w:type="character" w:styleId="471">
    <w:name w:val="Quote Char"/>
    <w:link w:val="503"/>
    <w:uiPriority w:val="29"/>
    <w:rPr>
      <w:i/>
    </w:rPr>
  </w:style>
  <w:style w:type="character" w:styleId="472">
    <w:name w:val="Intense Quote Char"/>
    <w:link w:val="505"/>
    <w:uiPriority w:val="30"/>
    <w:rPr>
      <w:i/>
    </w:rPr>
  </w:style>
  <w:style w:type="character" w:styleId="473">
    <w:name w:val="Header Char"/>
    <w:basedOn w:val="487"/>
    <w:link w:val="669"/>
    <w:uiPriority w:val="99"/>
  </w:style>
  <w:style w:type="character" w:styleId="474">
    <w:name w:val="Caption Char"/>
    <w:basedOn w:val="510"/>
    <w:link w:val="508"/>
    <w:uiPriority w:val="99"/>
  </w:style>
  <w:style w:type="table" w:styleId="475">
    <w:name w:val="Grid Table 6 Colorful - Accent 4"/>
    <w:basedOn w:val="4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character" w:styleId="476">
    <w:name w:val="Footnote Text Char"/>
    <w:link w:val="637"/>
    <w:uiPriority w:val="99"/>
    <w:rPr>
      <w:sz w:val="18"/>
    </w:rPr>
  </w:style>
  <w:style w:type="paragraph" w:styleId="477" w:default="1">
    <w:name w:val="Normal"/>
    <w:rPr>
      <w:sz w:val="24"/>
      <w:szCs w:val="24"/>
      <w:lang w:eastAsia="ar-SA"/>
    </w:rPr>
  </w:style>
  <w:style w:type="paragraph" w:styleId="478">
    <w:name w:val="Heading 1"/>
    <w:basedOn w:val="477"/>
    <w:next w:val="477"/>
    <w:link w:val="490"/>
    <w:qFormat/>
    <w:rPr>
      <w:b/>
      <w:sz w:val="28"/>
    </w:rPr>
    <w:pPr>
      <w:numPr>
        <w:numId w:val="1"/>
      </w:numPr>
      <w:keepNext/>
      <w:outlineLvl w:val="0"/>
    </w:pPr>
  </w:style>
  <w:style w:type="paragraph" w:styleId="479">
    <w:name w:val="Heading 2"/>
    <w:basedOn w:val="477"/>
    <w:next w:val="477"/>
    <w:link w:val="49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80">
    <w:name w:val="Heading 3"/>
    <w:basedOn w:val="477"/>
    <w:next w:val="477"/>
    <w:link w:val="49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81">
    <w:name w:val="Heading 4"/>
    <w:basedOn w:val="477"/>
    <w:next w:val="477"/>
    <w:link w:val="49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82">
    <w:name w:val="Heading 5"/>
    <w:basedOn w:val="477"/>
    <w:next w:val="477"/>
    <w:link w:val="494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paragraph" w:styleId="483">
    <w:name w:val="Heading 6"/>
    <w:basedOn w:val="477"/>
    <w:next w:val="477"/>
    <w:link w:val="49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84">
    <w:name w:val="Heading 7"/>
    <w:basedOn w:val="477"/>
    <w:next w:val="477"/>
    <w:link w:val="49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85">
    <w:name w:val="Heading 8"/>
    <w:basedOn w:val="477"/>
    <w:next w:val="477"/>
    <w:link w:val="49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86">
    <w:name w:val="Heading 9"/>
    <w:basedOn w:val="477"/>
    <w:next w:val="477"/>
    <w:link w:val="49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7" w:default="1">
    <w:name w:val="Default Paragraph Font"/>
    <w:uiPriority w:val="1"/>
    <w:semiHidden/>
    <w:unhideWhenUsed/>
  </w:style>
  <w:style w:type="table" w:styleId="4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89" w:default="1">
    <w:name w:val="No List"/>
    <w:uiPriority w:val="99"/>
    <w:semiHidden/>
    <w:unhideWhenUsed/>
  </w:style>
  <w:style w:type="character" w:styleId="490" w:customStyle="1">
    <w:name w:val="Заголовок 1 Знак"/>
    <w:basedOn w:val="487"/>
    <w:link w:val="478"/>
    <w:rPr>
      <w:b/>
      <w:sz w:val="28"/>
      <w:szCs w:val="24"/>
      <w:lang w:eastAsia="ar-SA"/>
    </w:rPr>
  </w:style>
  <w:style w:type="character" w:styleId="491" w:customStyle="1">
    <w:name w:val="Заголовок 2 Знак"/>
    <w:basedOn w:val="487"/>
    <w:link w:val="479"/>
    <w:uiPriority w:val="9"/>
    <w:rPr>
      <w:rFonts w:ascii="Arial" w:hAnsi="Arial" w:cs="Arial" w:eastAsia="Arial"/>
      <w:sz w:val="34"/>
    </w:rPr>
  </w:style>
  <w:style w:type="character" w:styleId="492" w:customStyle="1">
    <w:name w:val="Заголовок 3 Знак"/>
    <w:basedOn w:val="487"/>
    <w:link w:val="480"/>
    <w:uiPriority w:val="9"/>
    <w:rPr>
      <w:rFonts w:ascii="Arial" w:hAnsi="Arial" w:cs="Arial" w:eastAsia="Arial"/>
      <w:sz w:val="30"/>
      <w:szCs w:val="30"/>
    </w:rPr>
  </w:style>
  <w:style w:type="character" w:styleId="493" w:customStyle="1">
    <w:name w:val="Заголовок 4 Знак"/>
    <w:basedOn w:val="487"/>
    <w:link w:val="481"/>
    <w:uiPriority w:val="9"/>
    <w:rPr>
      <w:rFonts w:ascii="Arial" w:hAnsi="Arial" w:cs="Arial" w:eastAsia="Arial"/>
      <w:b/>
      <w:bCs/>
      <w:sz w:val="26"/>
      <w:szCs w:val="26"/>
    </w:rPr>
  </w:style>
  <w:style w:type="character" w:styleId="494" w:customStyle="1">
    <w:name w:val="Заголовок 5 Знак"/>
    <w:basedOn w:val="487"/>
    <w:link w:val="482"/>
    <w:uiPriority w:val="9"/>
    <w:rPr>
      <w:rFonts w:ascii="Arial" w:hAnsi="Arial" w:cs="Arial" w:eastAsia="Arial"/>
      <w:b/>
      <w:bCs/>
      <w:sz w:val="24"/>
      <w:szCs w:val="24"/>
    </w:rPr>
  </w:style>
  <w:style w:type="character" w:styleId="495" w:customStyle="1">
    <w:name w:val="Заголовок 6 Знак"/>
    <w:basedOn w:val="487"/>
    <w:link w:val="483"/>
    <w:uiPriority w:val="9"/>
    <w:rPr>
      <w:rFonts w:ascii="Arial" w:hAnsi="Arial" w:cs="Arial" w:eastAsia="Arial"/>
      <w:b/>
      <w:bCs/>
      <w:sz w:val="22"/>
      <w:szCs w:val="22"/>
    </w:rPr>
  </w:style>
  <w:style w:type="character" w:styleId="496" w:customStyle="1">
    <w:name w:val="Заголовок 7 Знак"/>
    <w:basedOn w:val="487"/>
    <w:link w:val="4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97" w:customStyle="1">
    <w:name w:val="Заголовок 8 Знак"/>
    <w:basedOn w:val="487"/>
    <w:link w:val="485"/>
    <w:uiPriority w:val="9"/>
    <w:rPr>
      <w:rFonts w:ascii="Arial" w:hAnsi="Arial" w:cs="Arial" w:eastAsia="Arial"/>
      <w:i/>
      <w:iCs/>
      <w:sz w:val="22"/>
      <w:szCs w:val="22"/>
    </w:rPr>
  </w:style>
  <w:style w:type="character" w:styleId="498" w:customStyle="1">
    <w:name w:val="Заголовок 9 Знак"/>
    <w:basedOn w:val="487"/>
    <w:link w:val="486"/>
    <w:uiPriority w:val="9"/>
    <w:rPr>
      <w:rFonts w:ascii="Arial" w:hAnsi="Arial" w:cs="Arial" w:eastAsia="Arial"/>
      <w:i/>
      <w:iCs/>
      <w:sz w:val="21"/>
      <w:szCs w:val="21"/>
    </w:rPr>
  </w:style>
  <w:style w:type="paragraph" w:styleId="499">
    <w:name w:val="List Paragraph"/>
    <w:basedOn w:val="477"/>
    <w:link w:val="557"/>
    <w:rPr>
      <w:sz w:val="22"/>
      <w:szCs w:val="22"/>
      <w:lang w:bidi="ru-RU" w:eastAsia="ru-RU"/>
    </w:rPr>
    <w:pPr>
      <w:ind w:left="118" w:right="180" w:firstLine="708"/>
      <w:jc w:val="both"/>
      <w:widowControl w:val="off"/>
    </w:pPr>
  </w:style>
  <w:style w:type="paragraph" w:styleId="500">
    <w:name w:val="No Spacing"/>
    <w:qFormat/>
    <w:uiPriority w:val="1"/>
  </w:style>
  <w:style w:type="character" w:styleId="501" w:customStyle="1">
    <w:name w:val="Название Знак"/>
    <w:basedOn w:val="487"/>
    <w:link w:val="673"/>
    <w:uiPriority w:val="10"/>
    <w:rPr>
      <w:sz w:val="48"/>
      <w:szCs w:val="48"/>
    </w:rPr>
  </w:style>
  <w:style w:type="character" w:styleId="502" w:customStyle="1">
    <w:name w:val="Подзаголовок Знак"/>
    <w:basedOn w:val="487"/>
    <w:link w:val="674"/>
    <w:uiPriority w:val="11"/>
    <w:rPr>
      <w:sz w:val="24"/>
      <w:szCs w:val="24"/>
    </w:rPr>
  </w:style>
  <w:style w:type="paragraph" w:styleId="503">
    <w:name w:val="Quote"/>
    <w:basedOn w:val="477"/>
    <w:next w:val="477"/>
    <w:link w:val="504"/>
    <w:qFormat/>
    <w:uiPriority w:val="29"/>
    <w:rPr>
      <w:i/>
    </w:rPr>
    <w:pPr>
      <w:ind w:left="720" w:right="720"/>
    </w:pPr>
  </w:style>
  <w:style w:type="character" w:styleId="504" w:customStyle="1">
    <w:name w:val="Цитата 2 Знак"/>
    <w:link w:val="503"/>
    <w:uiPriority w:val="29"/>
    <w:rPr>
      <w:i/>
    </w:rPr>
  </w:style>
  <w:style w:type="paragraph" w:styleId="505">
    <w:name w:val="Intense Quote"/>
    <w:basedOn w:val="477"/>
    <w:next w:val="477"/>
    <w:link w:val="506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6" w:customStyle="1">
    <w:name w:val="Выделенная цитата Знак"/>
    <w:link w:val="505"/>
    <w:uiPriority w:val="30"/>
    <w:rPr>
      <w:i/>
    </w:rPr>
  </w:style>
  <w:style w:type="character" w:styleId="507" w:customStyle="1">
    <w:name w:val="Верхний колонтитул Знак"/>
    <w:basedOn w:val="487"/>
    <w:link w:val="669"/>
    <w:uiPriority w:val="99"/>
  </w:style>
  <w:style w:type="paragraph" w:styleId="508">
    <w:name w:val="Footer"/>
    <w:basedOn w:val="477"/>
    <w:link w:val="51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509" w:customStyle="1">
    <w:name w:val="Footer Char"/>
    <w:basedOn w:val="487"/>
    <w:uiPriority w:val="99"/>
  </w:style>
  <w:style w:type="paragraph" w:styleId="510">
    <w:name w:val="Caption"/>
    <w:basedOn w:val="477"/>
    <w:next w:val="47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1" w:customStyle="1">
    <w:name w:val="Нижний колонтитул Знак"/>
    <w:link w:val="508"/>
    <w:uiPriority w:val="99"/>
  </w:style>
  <w:style w:type="table" w:styleId="512" w:customStyle="1">
    <w:name w:val="Table Grid Light"/>
    <w:basedOn w:val="488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513" w:customStyle="1">
    <w:name w:val="Plain Table 1"/>
    <w:basedOn w:val="488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4" w:customStyle="1">
    <w:name w:val="Plain Table 2"/>
    <w:basedOn w:val="488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5" w:customStyle="1">
    <w:name w:val="Plain Table 3"/>
    <w:basedOn w:val="4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6" w:customStyle="1">
    <w:name w:val="Plain Table 4"/>
    <w:basedOn w:val="4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Plain Table 5"/>
    <w:basedOn w:val="4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8" w:customStyle="1">
    <w:name w:val="Grid Table 1 Light"/>
    <w:basedOn w:val="488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Grid Table 1 Light - Accent 1"/>
    <w:basedOn w:val="488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Grid Table 1 Light - Accent 2"/>
    <w:basedOn w:val="488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Grid Table 1 Light - Accent 3"/>
    <w:basedOn w:val="488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Grid Table 1 Light - Accent 4"/>
    <w:basedOn w:val="488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Grid Table 1 Light - Accent 5"/>
    <w:basedOn w:val="488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Grid Table 1 Light - Accent 6"/>
    <w:basedOn w:val="488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 w:customStyle="1">
    <w:name w:val="Grid Table 2"/>
    <w:basedOn w:val="488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26" w:customStyle="1">
    <w:name w:val="Grid Table 2 - Accent 1"/>
    <w:basedOn w:val="488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27" w:customStyle="1">
    <w:name w:val="Grid Table 2 - Accent 2"/>
    <w:basedOn w:val="488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28" w:customStyle="1">
    <w:name w:val="Grid Table 2 - Accent 3"/>
    <w:basedOn w:val="488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29" w:customStyle="1">
    <w:name w:val="Grid Table 2 - Accent 4"/>
    <w:basedOn w:val="488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0" w:customStyle="1">
    <w:name w:val="Grid Table 2 - Accent 5"/>
    <w:basedOn w:val="488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1" w:customStyle="1">
    <w:name w:val="Grid Table 2 - Accent 6"/>
    <w:basedOn w:val="488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2" w:customStyle="1">
    <w:name w:val="Grid Table 3"/>
    <w:basedOn w:val="488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3" w:customStyle="1">
    <w:name w:val="Grid Table 3 - Accent 1"/>
    <w:basedOn w:val="488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4" w:customStyle="1">
    <w:name w:val="Grid Table 3 - Accent 2"/>
    <w:basedOn w:val="488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5" w:customStyle="1">
    <w:name w:val="Grid Table 3 - Accent 3"/>
    <w:basedOn w:val="488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6" w:customStyle="1">
    <w:name w:val="Grid Table 3 - Accent 4"/>
    <w:basedOn w:val="488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 w:customStyle="1">
    <w:name w:val="Grid Table 3 - Accent 5"/>
    <w:basedOn w:val="488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 w:customStyle="1">
    <w:name w:val="Grid Table 3 - Accent 6"/>
    <w:basedOn w:val="488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Grid Table 4"/>
    <w:basedOn w:val="488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0" w:customStyle="1">
    <w:name w:val="Grid Table 4 - Accent 1"/>
    <w:basedOn w:val="488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541" w:customStyle="1">
    <w:name w:val="Grid Table 4 - Accent 2"/>
    <w:basedOn w:val="488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542" w:customStyle="1">
    <w:name w:val="Grid Table 4 - Accent 3"/>
    <w:basedOn w:val="488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543" w:customStyle="1">
    <w:name w:val="Grid Table 4 - Accent 4"/>
    <w:basedOn w:val="488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544" w:customStyle="1">
    <w:name w:val="Grid Table 4 - Accent 5"/>
    <w:basedOn w:val="488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45" w:customStyle="1">
    <w:name w:val="Grid Table 4 - Accent 6"/>
    <w:basedOn w:val="488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46" w:customStyle="1">
    <w:name w:val="Grid Table 5 Dark"/>
    <w:basedOn w:val="48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547" w:customStyle="1">
    <w:name w:val="Grid Table 5 Dark- Accent 1"/>
    <w:basedOn w:val="48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5F1" w:themeFill="accent1" w:themeFillTint="34"/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</w:style>
  <w:style w:type="table" w:styleId="548" w:customStyle="1">
    <w:name w:val="Grid Table 5 Dark - Accent 2"/>
    <w:basedOn w:val="48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2DCDC" w:themeFill="accent2" w:themeFillTint="32"/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</w:style>
  <w:style w:type="table" w:styleId="549" w:customStyle="1">
    <w:name w:val="Grid Table 5 Dark - Accent 3"/>
    <w:basedOn w:val="48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AF1DC" w:themeFill="accent3" w:themeFillTint="34"/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</w:style>
  <w:style w:type="table" w:styleId="550" w:customStyle="1">
    <w:name w:val="Grid Table 5 Dark- Accent 4"/>
    <w:basedOn w:val="48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5DFEC" w:themeFill="accent4" w:themeFillTint="34"/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</w:style>
  <w:style w:type="table" w:styleId="551" w:customStyle="1">
    <w:name w:val="Grid Table 5 Dark - Accent 5"/>
    <w:basedOn w:val="48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EF3" w:themeFill="accent5" w:themeFillTint="34"/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</w:style>
  <w:style w:type="table" w:styleId="552" w:customStyle="1">
    <w:name w:val="Grid Table 5 Dark - Accent 6"/>
    <w:basedOn w:val="488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DE9D8" w:themeFill="accent6" w:themeFillTint="34"/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</w:style>
  <w:style w:type="table" w:styleId="553" w:customStyle="1">
    <w:name w:val="Grid Table 6 Colorful"/>
    <w:basedOn w:val="488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54" w:customStyle="1">
    <w:name w:val="Grid Table 6 Colorful - Accent 1"/>
    <w:basedOn w:val="488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55" w:customStyle="1">
    <w:name w:val="Grid Table 6 Colorful - Accent 2"/>
    <w:basedOn w:val="488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56" w:customStyle="1">
    <w:name w:val="Grid Table 6 Colorful - Accent 3"/>
    <w:basedOn w:val="488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57" w:customStyle="1">
    <w:name w:val="Абзац списка Знак"/>
    <w:basedOn w:val="488"/>
    <w:link w:val="49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58" w:customStyle="1">
    <w:name w:val="Grid Table 6 Colorful - Accent 5"/>
    <w:basedOn w:val="488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59" w:customStyle="1">
    <w:name w:val="Grid Table 6 Colorful - Accent 6"/>
    <w:basedOn w:val="488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60" w:customStyle="1">
    <w:name w:val="Grid Table 7 Colorful"/>
    <w:basedOn w:val="488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1" w:customStyle="1">
    <w:name w:val="Grid Table 7 Colorful - Accent 1"/>
    <w:basedOn w:val="488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2" w:customStyle="1">
    <w:name w:val="Grid Table 7 Colorful - Accent 2"/>
    <w:basedOn w:val="488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3" w:customStyle="1">
    <w:name w:val="Grid Table 7 Colorful - Accent 3"/>
    <w:basedOn w:val="488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4" w:customStyle="1">
    <w:name w:val="Grid Table 7 Colorful - Accent 4"/>
    <w:basedOn w:val="488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5" w:customStyle="1">
    <w:name w:val="Grid Table 7 Colorful - Accent 5"/>
    <w:basedOn w:val="488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66" w:customStyle="1">
    <w:name w:val="Grid Table 7 Colorful - Accent 6"/>
    <w:basedOn w:val="488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67" w:customStyle="1">
    <w:name w:val="List Table 1 Light"/>
    <w:basedOn w:val="488"/>
    <w:uiPriority w:val="99"/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68" w:customStyle="1">
    <w:name w:val="List Table 1 Light - Accent 1"/>
    <w:basedOn w:val="488"/>
    <w:uiPriority w:val="99"/>
    <w:tblPr>
      <w:tblStyleRowBandSize w:val="1"/>
      <w:tblStyleColBandSize w:val="1"/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69" w:customStyle="1">
    <w:name w:val="List Table 1 Light - Accent 2"/>
    <w:basedOn w:val="488"/>
    <w:uiPriority w:val="99"/>
    <w:tblPr>
      <w:tblStyleRowBandSize w:val="1"/>
      <w:tblStyleColBandSize w:val="1"/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0" w:customStyle="1">
    <w:name w:val="List Table 1 Light - Accent 3"/>
    <w:basedOn w:val="488"/>
    <w:uiPriority w:val="99"/>
    <w:tblPr>
      <w:tblStyleRowBandSize w:val="1"/>
      <w:tblStyleColBandSize w:val="1"/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1" w:customStyle="1">
    <w:name w:val="List Table 1 Light - Accent 4"/>
    <w:basedOn w:val="488"/>
    <w:uiPriority w:val="99"/>
    <w:tblPr>
      <w:tblStyleRowBandSize w:val="1"/>
      <w:tblStyleColBandSize w:val="1"/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2" w:customStyle="1">
    <w:name w:val="List Table 1 Light - Accent 5"/>
    <w:basedOn w:val="488"/>
    <w:uiPriority w:val="99"/>
    <w:tblPr>
      <w:tblStyleRowBandSize w:val="1"/>
      <w:tblStyleColBandSize w:val="1"/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3" w:customStyle="1">
    <w:name w:val="List Table 1 Light - Accent 6"/>
    <w:basedOn w:val="488"/>
    <w:uiPriority w:val="99"/>
    <w:tblPr>
      <w:tblStyleRowBandSize w:val="1"/>
      <w:tblStyleColBandSize w:val="1"/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4" w:customStyle="1">
    <w:name w:val="List Table 2"/>
    <w:basedOn w:val="488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75" w:customStyle="1">
    <w:name w:val="List Table 2 - Accent 1"/>
    <w:basedOn w:val="488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576" w:customStyle="1">
    <w:name w:val="List Table 2 - Accent 2"/>
    <w:basedOn w:val="488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577" w:customStyle="1">
    <w:name w:val="List Table 2 - Accent 3"/>
    <w:basedOn w:val="488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578" w:customStyle="1">
    <w:name w:val="List Table 2 - Accent 4"/>
    <w:basedOn w:val="488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579" w:customStyle="1">
    <w:name w:val="List Table 2 - Accent 5"/>
    <w:basedOn w:val="488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580" w:customStyle="1">
    <w:name w:val="List Table 2 - Accent 6"/>
    <w:basedOn w:val="488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581" w:customStyle="1">
    <w:name w:val="List Table 3"/>
    <w:basedOn w:val="488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 w:customStyle="1">
    <w:name w:val="List Table 3 - Accent 1"/>
    <w:basedOn w:val="488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 w:customStyle="1">
    <w:name w:val="List Table 3 - Accent 2"/>
    <w:basedOn w:val="488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4" w:customStyle="1">
    <w:name w:val="List Table 3 - Accent 3"/>
    <w:basedOn w:val="488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 w:customStyle="1">
    <w:name w:val="List Table 3 - Accent 4"/>
    <w:basedOn w:val="488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 w:customStyle="1">
    <w:name w:val="List Table 3 - Accent 5"/>
    <w:basedOn w:val="488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 w:customStyle="1">
    <w:name w:val="List Table 3 - Accent 6"/>
    <w:basedOn w:val="488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 w:customStyle="1">
    <w:name w:val="List Table 4"/>
    <w:basedOn w:val="488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 w:customStyle="1">
    <w:name w:val="List Table 4 - Accent 1"/>
    <w:basedOn w:val="488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 w:customStyle="1">
    <w:name w:val="List Table 4 - Accent 2"/>
    <w:basedOn w:val="488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 w:customStyle="1">
    <w:name w:val="List Table 4 - Accent 3"/>
    <w:basedOn w:val="488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 w:customStyle="1">
    <w:name w:val="List Table 4 - Accent 4"/>
    <w:basedOn w:val="488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 w:customStyle="1">
    <w:name w:val="List Table 4 - Accent 5"/>
    <w:basedOn w:val="488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 w:customStyle="1">
    <w:name w:val="List Table 4 - Accent 6"/>
    <w:basedOn w:val="488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 w:customStyle="1">
    <w:name w:val="List Table 5 Dark"/>
    <w:basedOn w:val="488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6" w:customStyle="1">
    <w:name w:val="List Table 5 Dark - Accent 1"/>
    <w:basedOn w:val="488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auto" w:fill="4F81BD" w:themeFill="accent1"/>
    </w:tbl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7" w:customStyle="1">
    <w:name w:val="List Table 5 Dark - Accent 2"/>
    <w:basedOn w:val="488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auto" w:fill="D99695" w:themeFill="accent2" w:themeFillTint="97"/>
    </w:tbl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8" w:customStyle="1">
    <w:name w:val="List Table 5 Dark - Accent 3"/>
    <w:basedOn w:val="488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auto" w:fill="C3D69B" w:themeFill="accent3" w:themeFillTint="98"/>
    </w:tbl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9" w:customStyle="1">
    <w:name w:val="List Table 5 Dark - Accent 4"/>
    <w:basedOn w:val="488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auto" w:fill="B2A1C6" w:themeFill="accent4" w:themeFillTint="9A"/>
    </w:tbl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0" w:customStyle="1">
    <w:name w:val="List Table 5 Dark - Accent 5"/>
    <w:basedOn w:val="488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auto" w:fill="92CCDC" w:themeFill="accent5" w:themeFillTint="9A"/>
    </w:tbl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1" w:customStyle="1">
    <w:name w:val="List Table 5 Dark - Accent 6"/>
    <w:basedOn w:val="488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auto" w:fill="FAC090" w:themeFill="accent6" w:themeFillTint="98"/>
    </w:tbl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2" w:customStyle="1">
    <w:name w:val="List Table 6 Colorful"/>
    <w:basedOn w:val="488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603" w:customStyle="1">
    <w:name w:val="List Table 6 Colorful - Accent 1"/>
    <w:basedOn w:val="488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604" w:customStyle="1">
    <w:name w:val="List Table 6 Colorful - Accent 2"/>
    <w:basedOn w:val="488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605" w:customStyle="1">
    <w:name w:val="List Table 6 Colorful - Accent 3"/>
    <w:basedOn w:val="488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606" w:customStyle="1">
    <w:name w:val="List Table 6 Colorful - Accent 4"/>
    <w:basedOn w:val="488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607" w:customStyle="1">
    <w:name w:val="List Table 6 Colorful - Accent 5"/>
    <w:basedOn w:val="488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608" w:customStyle="1">
    <w:name w:val="List Table 6 Colorful - Accent 6"/>
    <w:basedOn w:val="488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609" w:customStyle="1">
    <w:name w:val="List Table 7 Colorful"/>
    <w:basedOn w:val="488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10" w:customStyle="1">
    <w:name w:val="List Table 7 Colorful - Accent 1"/>
    <w:basedOn w:val="488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11" w:customStyle="1">
    <w:name w:val="List Table 7 Colorful - Accent 2"/>
    <w:basedOn w:val="488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2" w:customStyle="1">
    <w:name w:val="List Table 7 Colorful - Accent 3"/>
    <w:basedOn w:val="488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613" w:customStyle="1">
    <w:name w:val="List Table 7 Colorful - Accent 4"/>
    <w:basedOn w:val="488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14" w:customStyle="1">
    <w:name w:val="List Table 7 Colorful - Accent 5"/>
    <w:basedOn w:val="488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615" w:customStyle="1">
    <w:name w:val="List Table 7 Colorful - Accent 6"/>
    <w:basedOn w:val="488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616" w:customStyle="1">
    <w:name w:val="Lined - Accent"/>
    <w:basedOn w:val="488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617" w:customStyle="1">
    <w:name w:val="Lined - Accent 1"/>
    <w:basedOn w:val="488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618" w:customStyle="1">
    <w:name w:val="Lined - Accent 2"/>
    <w:basedOn w:val="488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619" w:customStyle="1">
    <w:name w:val="Lined - Accent 3"/>
    <w:basedOn w:val="488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620" w:customStyle="1">
    <w:name w:val="Lined - Accent 4"/>
    <w:basedOn w:val="488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621" w:customStyle="1">
    <w:name w:val="Lined - Accent 5"/>
    <w:basedOn w:val="488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622" w:customStyle="1">
    <w:name w:val="Lined - Accent 6"/>
    <w:basedOn w:val="488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623" w:customStyle="1">
    <w:name w:val="Bordered &amp; Lined - Accent"/>
    <w:basedOn w:val="488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624" w:customStyle="1">
    <w:name w:val="Bordered &amp; Lined - Accent 1"/>
    <w:basedOn w:val="488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625" w:customStyle="1">
    <w:name w:val="Bordered &amp; Lined - Accent 2"/>
    <w:basedOn w:val="488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626" w:customStyle="1">
    <w:name w:val="Bordered &amp; Lined - Accent 3"/>
    <w:basedOn w:val="488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627" w:customStyle="1">
    <w:name w:val="Bordered &amp; Lined - Accent 4"/>
    <w:basedOn w:val="488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628" w:customStyle="1">
    <w:name w:val="Bordered &amp; Lined - Accent 5"/>
    <w:basedOn w:val="488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629" w:customStyle="1">
    <w:name w:val="Bordered &amp; Lined - Accent 6"/>
    <w:basedOn w:val="488"/>
    <w:uiPriority w:val="99"/>
    <w:rPr>
      <w:color w:val="404040"/>
      <w:sz w:val="20"/>
      <w:szCs w:val="2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630" w:customStyle="1">
    <w:name w:val="Bordered"/>
    <w:basedOn w:val="488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31" w:customStyle="1">
    <w:name w:val="Bordered - Accent 1"/>
    <w:basedOn w:val="488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32" w:customStyle="1">
    <w:name w:val="Bordered - Accent 2"/>
    <w:basedOn w:val="488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633" w:customStyle="1">
    <w:name w:val="Bordered - Accent 3"/>
    <w:basedOn w:val="488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634" w:customStyle="1">
    <w:name w:val="Bordered - Accent 4"/>
    <w:basedOn w:val="488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635" w:customStyle="1">
    <w:name w:val="Bordered - Accent 5"/>
    <w:basedOn w:val="488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636" w:customStyle="1">
    <w:name w:val="Bordered - Accent 6"/>
    <w:basedOn w:val="488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paragraph" w:styleId="637">
    <w:name w:val="footnote text"/>
    <w:basedOn w:val="477"/>
    <w:link w:val="638"/>
    <w:uiPriority w:val="99"/>
    <w:semiHidden/>
    <w:unhideWhenUsed/>
    <w:rPr>
      <w:sz w:val="18"/>
    </w:rPr>
    <w:pPr>
      <w:spacing w:after="40"/>
    </w:pPr>
  </w:style>
  <w:style w:type="character" w:styleId="638" w:customStyle="1">
    <w:name w:val="Текст сноски Знак"/>
    <w:link w:val="637"/>
    <w:uiPriority w:val="99"/>
    <w:rPr>
      <w:sz w:val="18"/>
    </w:rPr>
  </w:style>
  <w:style w:type="character" w:styleId="639">
    <w:name w:val="footnote reference"/>
    <w:basedOn w:val="487"/>
    <w:uiPriority w:val="99"/>
    <w:unhideWhenUsed/>
    <w:rPr>
      <w:vertAlign w:val="superscript"/>
    </w:rPr>
  </w:style>
  <w:style w:type="paragraph" w:styleId="640">
    <w:name w:val="toc 1"/>
    <w:basedOn w:val="477"/>
    <w:next w:val="477"/>
    <w:uiPriority w:val="39"/>
    <w:unhideWhenUsed/>
    <w:pPr>
      <w:spacing w:after="57"/>
    </w:pPr>
  </w:style>
  <w:style w:type="paragraph" w:styleId="641">
    <w:name w:val="toc 2"/>
    <w:basedOn w:val="477"/>
    <w:next w:val="477"/>
    <w:uiPriority w:val="39"/>
    <w:unhideWhenUsed/>
    <w:pPr>
      <w:ind w:left="283"/>
      <w:spacing w:after="57"/>
    </w:pPr>
  </w:style>
  <w:style w:type="paragraph" w:styleId="642">
    <w:name w:val="toc 3"/>
    <w:basedOn w:val="477"/>
    <w:next w:val="477"/>
    <w:uiPriority w:val="39"/>
    <w:unhideWhenUsed/>
    <w:pPr>
      <w:ind w:left="567"/>
      <w:spacing w:after="57"/>
    </w:pPr>
  </w:style>
  <w:style w:type="paragraph" w:styleId="643">
    <w:name w:val="toc 4"/>
    <w:basedOn w:val="477"/>
    <w:next w:val="477"/>
    <w:uiPriority w:val="39"/>
    <w:unhideWhenUsed/>
    <w:pPr>
      <w:ind w:left="850"/>
      <w:spacing w:after="57"/>
    </w:pPr>
  </w:style>
  <w:style w:type="paragraph" w:styleId="644">
    <w:name w:val="toc 5"/>
    <w:basedOn w:val="477"/>
    <w:next w:val="477"/>
    <w:uiPriority w:val="39"/>
    <w:unhideWhenUsed/>
    <w:pPr>
      <w:ind w:left="1134"/>
      <w:spacing w:after="57"/>
    </w:pPr>
  </w:style>
  <w:style w:type="paragraph" w:styleId="645">
    <w:name w:val="toc 6"/>
    <w:basedOn w:val="477"/>
    <w:next w:val="477"/>
    <w:uiPriority w:val="39"/>
    <w:unhideWhenUsed/>
    <w:pPr>
      <w:ind w:left="1417"/>
      <w:spacing w:after="57"/>
    </w:pPr>
  </w:style>
  <w:style w:type="paragraph" w:styleId="646">
    <w:name w:val="toc 7"/>
    <w:basedOn w:val="477"/>
    <w:next w:val="477"/>
    <w:uiPriority w:val="39"/>
    <w:unhideWhenUsed/>
    <w:pPr>
      <w:ind w:left="1701"/>
      <w:spacing w:after="57"/>
    </w:pPr>
  </w:style>
  <w:style w:type="paragraph" w:styleId="647">
    <w:name w:val="toc 8"/>
    <w:basedOn w:val="477"/>
    <w:next w:val="477"/>
    <w:uiPriority w:val="39"/>
    <w:unhideWhenUsed/>
    <w:pPr>
      <w:ind w:left="1984"/>
      <w:spacing w:after="57"/>
    </w:pPr>
  </w:style>
  <w:style w:type="paragraph" w:styleId="648">
    <w:name w:val="toc 9"/>
    <w:basedOn w:val="477"/>
    <w:next w:val="477"/>
    <w:uiPriority w:val="39"/>
    <w:unhideWhenUsed/>
    <w:pPr>
      <w:ind w:left="2268"/>
      <w:spacing w:after="57"/>
    </w:pPr>
  </w:style>
  <w:style w:type="paragraph" w:styleId="649">
    <w:name w:val="TOC Heading"/>
    <w:uiPriority w:val="39"/>
    <w:unhideWhenUsed/>
  </w:style>
  <w:style w:type="character" w:styleId="650" w:customStyle="1">
    <w:name w:val="Absatz-Standardschriftart"/>
  </w:style>
  <w:style w:type="character" w:styleId="651" w:customStyle="1">
    <w:name w:val="WW-Absatz-Standardschriftart"/>
  </w:style>
  <w:style w:type="character" w:styleId="652" w:customStyle="1">
    <w:name w:val="WW-Absatz-Standardschriftart1"/>
  </w:style>
  <w:style w:type="character" w:styleId="653" w:customStyle="1">
    <w:name w:val="WW-Absatz-Standardschriftart11"/>
  </w:style>
  <w:style w:type="character" w:styleId="654" w:customStyle="1">
    <w:name w:val="Основной шрифт абзаца1"/>
  </w:style>
  <w:style w:type="character" w:styleId="655" w:customStyle="1">
    <w:name w:val="Основной шрифт абзаца2"/>
  </w:style>
  <w:style w:type="paragraph" w:styleId="656" w:customStyle="1">
    <w:name w:val="Заголовок"/>
    <w:basedOn w:val="477"/>
    <w:next w:val="657"/>
    <w:rPr>
      <w:rFonts w:ascii="Arial" w:hAnsi="Arial" w:cs="Mangal" w:eastAsia="Microsoft YaHei"/>
      <w:sz w:val="28"/>
      <w:szCs w:val="28"/>
    </w:rPr>
    <w:pPr>
      <w:keepNext/>
      <w:spacing w:after="120" w:before="240"/>
    </w:pPr>
  </w:style>
  <w:style w:type="paragraph" w:styleId="657">
    <w:name w:val="Body Text"/>
    <w:basedOn w:val="477"/>
    <w:link w:val="682"/>
    <w:pPr>
      <w:spacing w:after="120"/>
    </w:pPr>
  </w:style>
  <w:style w:type="paragraph" w:styleId="658">
    <w:name w:val="List"/>
    <w:basedOn w:val="657"/>
    <w:rPr>
      <w:rFonts w:cs="Mangal"/>
    </w:rPr>
  </w:style>
  <w:style w:type="paragraph" w:styleId="659" w:customStyle="1">
    <w:name w:val="Название1"/>
    <w:basedOn w:val="477"/>
    <w:rPr>
      <w:rFonts w:cs="Mangal"/>
      <w:i/>
      <w:iCs/>
    </w:rPr>
    <w:pPr>
      <w:spacing w:after="120" w:before="120"/>
    </w:pPr>
  </w:style>
  <w:style w:type="paragraph" w:styleId="660" w:customStyle="1">
    <w:name w:val="Указатель1"/>
    <w:basedOn w:val="477"/>
    <w:rPr>
      <w:rFonts w:cs="Mangal"/>
    </w:rPr>
  </w:style>
  <w:style w:type="paragraph" w:styleId="661" w:customStyle="1">
    <w:name w:val="text1cl"/>
    <w:basedOn w:val="477"/>
    <w:pPr>
      <w:jc w:val="center"/>
      <w:spacing w:after="288" w:before="144"/>
    </w:pPr>
  </w:style>
  <w:style w:type="paragraph" w:styleId="662" w:customStyle="1">
    <w:name w:val="ConsPlusTitle"/>
    <w:rPr>
      <w:rFonts w:ascii="Arial" w:hAnsi="Arial" w:cs="Arial" w:eastAsia="Arial"/>
      <w:b/>
      <w:bCs/>
      <w:lang w:eastAsia="ar-SA"/>
    </w:rPr>
    <w:pPr>
      <w:widowControl w:val="off"/>
    </w:pPr>
  </w:style>
  <w:style w:type="paragraph" w:styleId="663" w:customStyle="1">
    <w:name w:val="Содержимое таблицы"/>
    <w:basedOn w:val="477"/>
  </w:style>
  <w:style w:type="paragraph" w:styleId="664" w:customStyle="1">
    <w:name w:val="Заголовок таблицы"/>
    <w:basedOn w:val="663"/>
    <w:rPr>
      <w:b/>
      <w:bCs/>
    </w:rPr>
    <w:pPr>
      <w:jc w:val="center"/>
    </w:pPr>
  </w:style>
  <w:style w:type="paragraph" w:styleId="665" w:customStyle="1">
    <w:name w:val="ConsPlusNormal"/>
    <w:next w:val="477"/>
    <w:rPr>
      <w:rFonts w:ascii="Arial" w:hAnsi="Arial" w:eastAsia="Arial"/>
    </w:rPr>
    <w:pPr>
      <w:ind w:firstLine="720"/>
      <w:widowControl w:val="off"/>
    </w:pPr>
  </w:style>
  <w:style w:type="paragraph" w:styleId="666" w:customStyle="1">
    <w:name w:val="ConsPlusNonformat"/>
    <w:basedOn w:val="477"/>
    <w:next w:val="665"/>
    <w:rPr>
      <w:rFonts w:ascii="Courier New" w:hAnsi="Courier New" w:eastAsia="Courier New"/>
      <w:sz w:val="20"/>
      <w:szCs w:val="20"/>
    </w:rPr>
  </w:style>
  <w:style w:type="paragraph" w:styleId="667" w:customStyle="1">
    <w:name w:val="ConsPlusCell"/>
    <w:basedOn w:val="477"/>
    <w:rPr>
      <w:rFonts w:ascii="Arial" w:hAnsi="Arial" w:eastAsia="Arial"/>
      <w:sz w:val="20"/>
      <w:szCs w:val="20"/>
    </w:rPr>
  </w:style>
  <w:style w:type="paragraph" w:styleId="668" w:customStyle="1">
    <w:name w:val="ConsPlusDocList"/>
    <w:basedOn w:val="477"/>
    <w:rPr>
      <w:rFonts w:ascii="Courier New" w:hAnsi="Courier New" w:eastAsia="Courier New"/>
      <w:sz w:val="20"/>
      <w:szCs w:val="20"/>
    </w:rPr>
  </w:style>
  <w:style w:type="paragraph" w:styleId="669">
    <w:name w:val="Header"/>
    <w:basedOn w:val="477"/>
    <w:link w:val="507"/>
    <w:pPr>
      <w:tabs>
        <w:tab w:val="center" w:pos="4677" w:leader="none"/>
        <w:tab w:val="right" w:pos="9355" w:leader="none"/>
      </w:tabs>
    </w:pPr>
  </w:style>
  <w:style w:type="character" w:styleId="670">
    <w:name w:val="page number"/>
    <w:basedOn w:val="487"/>
  </w:style>
  <w:style w:type="paragraph" w:styleId="671">
    <w:name w:val="Balloon Text"/>
    <w:basedOn w:val="477"/>
    <w:semiHidden/>
    <w:rPr>
      <w:rFonts w:ascii="Tahoma" w:hAnsi="Tahoma" w:cs="Tahoma"/>
      <w:sz w:val="16"/>
      <w:szCs w:val="16"/>
    </w:rPr>
  </w:style>
  <w:style w:type="character" w:styleId="672" w:customStyle="1">
    <w:name w:val="Font Style16"/>
    <w:rPr>
      <w:rFonts w:ascii="Times New Roman" w:hAnsi="Times New Roman" w:cs="Times New Roman"/>
      <w:sz w:val="22"/>
      <w:szCs w:val="22"/>
    </w:rPr>
  </w:style>
  <w:style w:type="paragraph" w:styleId="673">
    <w:name w:val="Title"/>
    <w:basedOn w:val="477"/>
    <w:next w:val="674"/>
    <w:link w:val="501"/>
    <w:qFormat/>
    <w:rPr>
      <w:b/>
      <w:bCs/>
      <w:sz w:val="28"/>
    </w:rPr>
    <w:pPr>
      <w:jc w:val="center"/>
    </w:pPr>
  </w:style>
  <w:style w:type="paragraph" w:styleId="674">
    <w:name w:val="Subtitle"/>
    <w:basedOn w:val="477"/>
    <w:link w:val="502"/>
    <w:qFormat/>
    <w:rPr>
      <w:rFonts w:ascii="Arial" w:hAnsi="Arial" w:cs="Arial"/>
    </w:rPr>
    <w:pPr>
      <w:jc w:val="center"/>
      <w:spacing w:after="60"/>
      <w:outlineLvl w:val="1"/>
    </w:pPr>
  </w:style>
  <w:style w:type="character" w:styleId="675">
    <w:name w:val="Hyperlink"/>
    <w:rPr>
      <w:color w:val="0000FF"/>
      <w:u w:val="single"/>
    </w:rPr>
  </w:style>
  <w:style w:type="paragraph" w:styleId="676" w:customStyle="1">
    <w:name w:val="Знак1 Знак Знак Знак Знак Знак Знак Знак Знак1 Char"/>
    <w:basedOn w:val="477"/>
    <w:rPr>
      <w:rFonts w:ascii="Verdana" w:hAnsi="Verdana"/>
      <w:sz w:val="20"/>
      <w:szCs w:val="20"/>
      <w:lang w:val="en-US" w:eastAsia="en-US"/>
    </w:rPr>
    <w:pPr>
      <w:spacing w:lineRule="exact" w:line="240" w:after="160"/>
    </w:pPr>
  </w:style>
  <w:style w:type="character" w:styleId="677" w:customStyle="1">
    <w:name w:val="Font Style13"/>
    <w:rPr>
      <w:rFonts w:ascii="Times New Roman" w:hAnsi="Times New Roman" w:cs="Times New Roman"/>
      <w:sz w:val="26"/>
      <w:szCs w:val="26"/>
    </w:rPr>
  </w:style>
  <w:style w:type="paragraph" w:styleId="678" w:customStyle="1">
    <w:name w:val="Style6"/>
    <w:basedOn w:val="477"/>
    <w:rPr>
      <w:lang w:eastAsia="ru-RU"/>
    </w:rPr>
    <w:pPr>
      <w:ind w:firstLine="528"/>
      <w:jc w:val="both"/>
      <w:spacing w:lineRule="exact" w:line="326"/>
      <w:widowControl w:val="off"/>
    </w:pPr>
  </w:style>
  <w:style w:type="character" w:styleId="679" w:customStyle="1">
    <w:name w:val="Основной текст (2)_"/>
    <w:link w:val="680"/>
    <w:rPr>
      <w:b/>
      <w:bCs/>
      <w:sz w:val="28"/>
      <w:szCs w:val="28"/>
      <w:lang w:bidi="ar-SA"/>
    </w:rPr>
  </w:style>
  <w:style w:type="paragraph" w:styleId="680" w:customStyle="1">
    <w:name w:val="Основной текст (2)"/>
    <w:basedOn w:val="477"/>
    <w:link w:val="679"/>
    <w:rPr>
      <w:b/>
      <w:bCs/>
      <w:sz w:val="28"/>
      <w:szCs w:val="28"/>
    </w:rPr>
    <w:pPr>
      <w:spacing w:lineRule="exact" w:line="322" w:after="900"/>
      <w:shd w:val="clear" w:color="auto" w:fill="FFFFFF"/>
      <w:widowControl w:val="off"/>
    </w:pPr>
  </w:style>
  <w:style w:type="character" w:styleId="681" w:customStyle="1">
    <w:name w:val="Основной текст (3) Exact"/>
    <w:link w:val="685"/>
    <w:rPr>
      <w:rFonts w:ascii="Impact" w:hAnsi="Impact"/>
      <w:sz w:val="42"/>
      <w:szCs w:val="42"/>
      <w:lang w:bidi="ar-SA"/>
    </w:rPr>
  </w:style>
  <w:style w:type="character" w:styleId="682" w:customStyle="1">
    <w:name w:val="Основной текст Знак"/>
    <w:link w:val="657"/>
    <w:rPr>
      <w:sz w:val="24"/>
      <w:szCs w:val="24"/>
      <w:lang w:val="ru-RU" w:bidi="ar-SA" w:eastAsia="ar-SA"/>
    </w:rPr>
  </w:style>
  <w:style w:type="character" w:styleId="683" w:customStyle="1">
    <w:name w:val="Основной текст + Полужирный"/>
    <w:rPr>
      <w:b/>
      <w:bCs/>
      <w:spacing w:val="40"/>
      <w:sz w:val="24"/>
      <w:szCs w:val="24"/>
      <w:lang w:val="ru-RU" w:bidi="ar-SA" w:eastAsia="ar-SA"/>
    </w:rPr>
  </w:style>
  <w:style w:type="character" w:styleId="684" w:customStyle="1">
    <w:name w:val="Основной текст + Курсив"/>
    <w:rPr>
      <w:i/>
      <w:iCs/>
      <w:sz w:val="24"/>
      <w:szCs w:val="24"/>
      <w:lang w:val="en-US" w:bidi="ar-SA" w:eastAsia="en-US"/>
    </w:rPr>
  </w:style>
  <w:style w:type="paragraph" w:styleId="685" w:customStyle="1">
    <w:name w:val="Основной текст (3)"/>
    <w:basedOn w:val="477"/>
    <w:link w:val="681"/>
    <w:rPr>
      <w:rFonts w:ascii="Impact" w:hAnsi="Impact"/>
      <w:sz w:val="42"/>
      <w:szCs w:val="42"/>
    </w:rPr>
    <w:pPr>
      <w:spacing w:lineRule="atLeast" w:line="240"/>
      <w:shd w:val="clear" w:color="auto" w:fill="FFFFFF"/>
      <w:widowControl w:val="off"/>
    </w:pPr>
  </w:style>
  <w:style w:type="table" w:styleId="686">
    <w:name w:val="Table Grid"/>
    <w:basedOn w:val="488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87" w:customStyle="1">
    <w:name w:val="Абзац_письма"/>
    <w:basedOn w:val="477"/>
    <w:rPr>
      <w:sz w:val="26"/>
      <w:szCs w:val="20"/>
      <w:lang w:eastAsia="ru-RU"/>
    </w:rPr>
    <w:pPr>
      <w:ind w:firstLine="709"/>
      <w:jc w:val="both"/>
      <w:spacing w:lineRule="auto" w:line="360"/>
      <w:widowControl w:val="off"/>
    </w:pPr>
  </w:style>
  <w:style w:type="character" w:styleId="688" w:customStyle="1">
    <w:name w:val="Цветовое выделение для Текст"/>
    <w:rPr>
      <w:rFonts w:ascii="Times New Roman CYR" w:hAnsi="Times New Roman CYR" w:cs="Times New Roman CYR" w:eastAsia="Times New Roman CYR"/>
      <w:sz w:val="24"/>
    </w:rPr>
  </w:style>
  <w:style w:type="character" w:styleId="689" w:customStyle="1">
    <w:name w:val="Гипертекстовая ссылка"/>
    <w:rPr>
      <w:rFonts w:ascii="Arial" w:hAnsi="Arial" w:cs="Arial" w:eastAsia="Arial"/>
      <w:b w:val="false"/>
      <w:color w:val="106BBE"/>
      <w:sz w:val="24"/>
    </w:rPr>
  </w:style>
  <w:style w:type="character" w:styleId="690">
    <w:name w:val="annotation reference"/>
    <w:basedOn w:val="487"/>
    <w:uiPriority w:val="99"/>
    <w:semiHidden/>
    <w:unhideWhenUsed/>
    <w:rPr>
      <w:sz w:val="16"/>
      <w:szCs w:val="16"/>
    </w:rPr>
  </w:style>
  <w:style w:type="paragraph" w:styleId="691">
    <w:name w:val="annotation text"/>
    <w:basedOn w:val="477"/>
    <w:link w:val="692"/>
    <w:uiPriority w:val="99"/>
    <w:semiHidden/>
    <w:unhideWhenUsed/>
    <w:rPr>
      <w:sz w:val="20"/>
      <w:szCs w:val="20"/>
    </w:rPr>
  </w:style>
  <w:style w:type="character" w:styleId="692" w:customStyle="1">
    <w:name w:val="Текст примечания Знак"/>
    <w:basedOn w:val="487"/>
    <w:link w:val="691"/>
    <w:uiPriority w:val="99"/>
    <w:semiHidden/>
    <w:rPr>
      <w:sz w:val="20"/>
      <w:szCs w:val="20"/>
      <w:lang w:eastAsia="ar-SA"/>
    </w:rPr>
  </w:style>
  <w:style w:type="paragraph" w:styleId="693">
    <w:name w:val="annotation subject"/>
    <w:basedOn w:val="691"/>
    <w:next w:val="691"/>
    <w:link w:val="694"/>
    <w:uiPriority w:val="99"/>
    <w:semiHidden/>
    <w:unhideWhenUsed/>
    <w:rPr>
      <w:b/>
      <w:bCs/>
    </w:rPr>
  </w:style>
  <w:style w:type="character" w:styleId="694" w:customStyle="1">
    <w:name w:val="Тема примечания Знак"/>
    <w:basedOn w:val="692"/>
    <w:link w:val="693"/>
    <w:uiPriority w:val="99"/>
    <w:semiHidden/>
    <w:rPr>
      <w:b/>
      <w:bCs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consultantplus://offline/ref=796643663F48AE799405563631B6C99AEE89FD1158031C302EA65FD218BB5DC9F0DA7210181BBCE3477AEADAE87EC64BE6A33C0DFBB62EB0m3I4K" TargetMode="External"/><Relationship Id="rId11" Type="http://schemas.openxmlformats.org/officeDocument/2006/relationships/hyperlink" Target="consultantplus://offline/ref=796643663F48AE7994054A3936CC9CC9E08AF4135A071C302EA65FD218BB5DC9F0DA7210181BBCEA407AEADAE87EC64BE6A33C0DFBB62EB0m3I4K" TargetMode="External"/><Relationship Id="rId12" Type="http://schemas.openxmlformats.org/officeDocument/2006/relationships/hyperlink" Target="consultantplus://offline/ref=796643663F48AE7994054A3936CC9CC9E08AF4135A071C302EA65FD218BB5DC9F0DA7210181BBCEA407AEADAE87EC64BE6A33C0DFBB62EB0m3I4K" TargetMode="External"/><Relationship Id="rId13" Type="http://schemas.openxmlformats.org/officeDocument/2006/relationships/hyperlink" Target="http://mobileonline.garant.ru/document/redirect/74449814/29" TargetMode="External"/><Relationship Id="rId14" Type="http://schemas.openxmlformats.org/officeDocument/2006/relationships/hyperlink" Target="http://mobileonline.garant.ru/document/redirect/12127232/11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административного регламента  предоставления государственной услуги департамента природопользования и охраны окружающей среды Белгородской области по рассмотрению и утверждению проектов округов и зон санитарной охраны водных объектов, исп</dc:title>
  <dc:creator>Управление - государственная инспекция</dc:creator>
  <cp:revision>8</cp:revision>
  <dcterms:created xsi:type="dcterms:W3CDTF">2021-08-27T07:06:00Z</dcterms:created>
  <dcterms:modified xsi:type="dcterms:W3CDTF">2021-09-08T06:21:46Z</dcterms:modified>
</cp:coreProperties>
</file>